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1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hyperlink r:id="rId11" w:tooltip="https://www.dzo.com.ua/tenders/17227183" w:history="1">
        <w:r>
          <w:rPr>
            <w:b w:val="0"/>
            <w:bCs w:val="0"/>
            <w:sz w:val="24"/>
            <w:szCs w:val="24"/>
          </w:rPr>
          <w:t xml:space="preserve"> Закупівля </w:t>
        </w:r>
        <w:r>
          <w:rPr>
            <w:b w:val="0"/>
            <w:bCs w:val="0"/>
            <w:color w:val="000000" w:themeColor="text1"/>
            <w:sz w:val="24"/>
            <w:szCs w:val="24"/>
          </w:rPr>
          <w:t xml:space="preserve">послуги з розгортання програмно-апаратного комплексу «Безпечна країна» </w:t>
        </w:r>
        <w:r>
          <w:rPr>
            <w:b w:val="0"/>
            <w:bCs w:val="0"/>
            <w:sz w:val="24"/>
            <w:szCs w:val="24"/>
          </w:rPr>
          <w:t xml:space="preserve"> за кодом CPV за ЄЗС ДК 021:2015: 72260000-5 </w:t>
        </w:r>
      </w:hyperlink>
      <w:r>
        <w:rPr>
          <w:b w:val="0"/>
          <w:bCs w:val="0"/>
          <w:sz w:val="24"/>
          <w:szCs w:val="24"/>
        </w:rPr>
        <w:t xml:space="preserve"> Послуги, пов’язані з програмним забезпеченням</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2046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lang w:eastAsia="uk-UA"/>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eastAsia="uk-UA"/>
        </w:rPr>
        <w:t xml:space="preserve">Закупівля послуги з розгортання програмно-апаратного комплексу «Безпечна країна»</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15"/>
        <w:jc w:val="center"/>
        <w:spacing w:before="0" w:beforeAutospacing="0" w:after="0" w:afterAutospacing="0"/>
        <w:shd w:val="clear" w:color="auto" w:fill="ffffff" w:themeFill="background1"/>
        <w:rPr>
          <w:sz w:val="24"/>
          <w:szCs w:val="24"/>
          <w:u w:val="single"/>
        </w:rPr>
      </w:pPr>
      <w:r/>
      <w:hyperlink r:id="rId12" w:tooltip="https://www.dzo.com.ua/tenders/17227183" w:history="1">
        <w:r>
          <w:rPr>
            <w:rStyle w:val="728"/>
            <w:color w:val="auto"/>
            <w:sz w:val="24"/>
            <w:szCs w:val="24"/>
          </w:rPr>
          <w:t xml:space="preserve"> Закупівля послуги з розгортання програмно-апаратного комплексу «Безпечна країна»  за кодом CPV за ЄЗС ДК 021:2015: 72260000-5 </w:t>
        </w:r>
        <w:r>
          <w:rPr>
            <w:rStyle w:val="728"/>
            <w:color w:val="auto"/>
            <w:sz w:val="24"/>
            <w:szCs w:val="24"/>
          </w:rPr>
          <w:t xml:space="preserve"> Послуги, пов’язані з програмним забезпеченням</w:t>
        </w:r>
        <w:r>
          <w:rPr>
            <w:rStyle w:val="728"/>
            <w:color w:val="auto"/>
            <w:sz w:val="24"/>
            <w:szCs w:val="24"/>
          </w:rPr>
          <w:t xml:space="preserve"> </w:t>
        </w:r>
      </w:hyperlink>
      <w:r/>
      <w:r/>
    </w:p>
    <w:p>
      <w:pPr>
        <w:spacing w:after="0" w:line="240" w:lineRule="auto"/>
        <w:rPr>
          <w:rFonts w:ascii="Times New Roman" w:hAnsi="Times New Roman" w:cs="Times New Roman"/>
          <w:sz w:val="24"/>
          <w:szCs w:val="24"/>
        </w:rPr>
      </w:pPr>
      <w:r>
        <w:rPr>
          <w:rFonts w:ascii="Times New Roman" w:hAnsi="Times New Roman" w:cs="Times New Roman"/>
          <w:sz w:val="24"/>
          <w:szCs w:val="24"/>
        </w:rPr>
        <w:br/>
      </w:r>
      <w:r/>
    </w:p>
    <w:tbl>
      <w:tblPr>
        <w:tblW w:w="934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5"/>
        <w:gridCol w:w="5840"/>
        <w:gridCol w:w="1443"/>
        <w:gridCol w:w="1237"/>
      </w:tblGrid>
      <w:tr>
        <w:trPr>
          <w:trHeight w:val="620"/>
        </w:trPr>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w:t>
            </w:r>
            <w:r/>
          </w:p>
        </w:tc>
        <w:tc>
          <w:tcPr>
            <w:tcBorders>
              <w:top w:val="single" w:color="auto" w:sz="4" w:space="0"/>
              <w:left w:val="single" w:color="auto" w:sz="4" w:space="0"/>
              <w:bottom w:val="single" w:color="auto" w:sz="4" w:space="0"/>
              <w:right w:val="single" w:color="auto" w:sz="4" w:space="0"/>
            </w:tcBorders>
            <w:tcW w:w="583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tcBorders>
              <w:top w:val="single" w:color="auto" w:sz="4" w:space="0"/>
              <w:left w:val="single" w:color="auto" w:sz="4" w:space="0"/>
              <w:bottom w:val="single" w:color="auto" w:sz="4" w:space="0"/>
              <w:right w:val="single" w:color="auto" w:sz="4" w:space="0"/>
            </w:tcBorders>
            <w:tcW w:w="1442"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 виміру</w:t>
            </w:r>
            <w:r/>
          </w:p>
        </w:tc>
        <w:tc>
          <w:tcPr>
            <w:tcBorders>
              <w:top w:val="single" w:color="auto" w:sz="4" w:space="0"/>
              <w:left w:val="single" w:color="auto" w:sz="4" w:space="0"/>
              <w:bottom w:val="single" w:color="auto" w:sz="4" w:space="0"/>
              <w:right w:val="single" w:color="auto" w:sz="4" w:space="0"/>
            </w:tcBorders>
            <w:tcW w:w="1236"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339"/>
        </w:trPr>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tcBorders>
              <w:top w:val="single" w:color="auto" w:sz="4" w:space="0"/>
              <w:left w:val="single" w:color="auto" w:sz="4" w:space="0"/>
              <w:bottom w:val="single" w:color="auto" w:sz="4" w:space="0"/>
              <w:right w:val="single" w:color="auto" w:sz="4" w:space="0"/>
            </w:tcBorders>
            <w:tcW w:w="5837" w:type="dxa"/>
            <w:vAlign w:val="center"/>
            <w:textDirection w:val="lrTb"/>
            <w:noWrap w:val="false"/>
          </w:tcPr>
          <w:p>
            <w:pPr>
              <w:spacing w:after="0" w:line="240" w:lineRule="auto"/>
              <w:rPr>
                <w:rFonts w:ascii="Times New Roman" w:hAnsi="Times New Roman" w:cs="Times New Roman"/>
                <w:b/>
                <w:bCs/>
                <w:sz w:val="24"/>
                <w:szCs w:val="24"/>
                <w:highlight w:val="yellow"/>
                <w:lang w:val="en-US"/>
              </w:rPr>
              <w:outlineLvl w:val="1"/>
            </w:pPr>
            <w:r>
              <w:rPr>
                <w:rFonts w:ascii="Times New Roman" w:hAnsi="Times New Roman" w:cs="Times New Roman"/>
                <w:b/>
                <w:sz w:val="24"/>
                <w:szCs w:val="24"/>
              </w:rPr>
              <w:t xml:space="preserve">Послуга розгортання програмно-апаратного комплексу «Безпечна країна»</w:t>
            </w:r>
            <w:r>
              <w:rPr>
                <w:rFonts w:ascii="Times New Roman" w:hAnsi="Times New Roman" w:cs="Times New Roman"/>
                <w:b/>
                <w:bCs/>
                <w:sz w:val="24"/>
                <w:szCs w:val="24"/>
              </w:rPr>
              <w:t xml:space="preserve"> </w:t>
            </w:r>
            <w:r/>
          </w:p>
        </w:tc>
        <w:tc>
          <w:tcPr>
            <w:tcBorders>
              <w:top w:val="single" w:color="auto" w:sz="4" w:space="0"/>
              <w:left w:val="single" w:color="auto" w:sz="4" w:space="0"/>
              <w:bottom w:val="single" w:color="auto" w:sz="4" w:space="0"/>
              <w:right w:val="single" w:color="auto" w:sz="4" w:space="0"/>
            </w:tcBorders>
            <w:tcW w:w="1442" w:type="dxa"/>
            <w:vAlign w:val="center"/>
            <w:textDirection w:val="lrTb"/>
            <w:noWrap w:val="false"/>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посл.</w:t>
            </w:r>
            <w:r/>
          </w:p>
        </w:tc>
        <w:tc>
          <w:tcPr>
            <w:tcBorders>
              <w:top w:val="single" w:color="auto" w:sz="4" w:space="0"/>
              <w:left w:val="single" w:color="auto" w:sz="4" w:space="0"/>
              <w:bottom w:val="single" w:color="auto" w:sz="4" w:space="0"/>
              <w:right w:val="single" w:color="auto" w:sz="4" w:space="0"/>
            </w:tcBorders>
            <w:tcW w:w="1236"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jc w:val="center"/>
        <w:spacing w:after="0" w:line="240" w:lineRule="auto"/>
        <w:rPr>
          <w:rFonts w:ascii="Times New Roman" w:hAnsi="Times New Roman" w:cs="Times New Roman"/>
          <w:b/>
          <w:sz w:val="24"/>
          <w:szCs w:val="24"/>
        </w:rPr>
        <w:outlineLvl w:val="0"/>
      </w:pPr>
      <w:r>
        <w:rPr>
          <w:rFonts w:ascii="Times New Roman" w:hAnsi="Times New Roman" w:cs="Times New Roman"/>
          <w:b/>
          <w:sz w:val="24"/>
          <w:szCs w:val="24"/>
        </w:rPr>
        <w:t xml:space="preserve">Технічні вимоги</w:t>
      </w:r>
      <w:r/>
    </w:p>
    <w:p>
      <w:pPr>
        <w:jc w:val="center"/>
        <w:spacing w:after="0" w:line="240" w:lineRule="auto"/>
        <w:rPr>
          <w:rFonts w:ascii="Times New Roman" w:hAnsi="Times New Roman" w:cs="Times New Roman"/>
          <w:b/>
          <w:sz w:val="24"/>
          <w:szCs w:val="24"/>
        </w:rPr>
        <w:outlineLvl w:val="0"/>
      </w:pPr>
      <w:r>
        <w:rPr>
          <w:rFonts w:ascii="Times New Roman" w:hAnsi="Times New Roman" w:cs="Times New Roman"/>
          <w:b/>
          <w:sz w:val="24"/>
          <w:szCs w:val="24"/>
        </w:rPr>
        <w:t xml:space="preserve">Послуга розгортання програмно-апаратного комплексу «Безпечна країна»</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Послуга з розгортання програмно-апаратного комплексу «Безпечна країна» включає в себе:</w:t>
      </w:r>
      <w:r/>
    </w:p>
    <w:p>
      <w:pPr>
        <w:pStyle w:val="719"/>
        <w:numPr>
          <w:ilvl w:val="0"/>
          <w:numId w:val="32"/>
        </w:numPr>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Розгортання ІТ-інфраструктури</w:t>
      </w:r>
      <w:r/>
    </w:p>
    <w:p>
      <w:pPr>
        <w:pStyle w:val="719"/>
        <w:numPr>
          <w:ilvl w:val="0"/>
          <w:numId w:val="32"/>
        </w:numPr>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Розгортання та запуск програмного комплексу Безпечна Країна:</w:t>
      </w:r>
      <w:r/>
    </w:p>
    <w:p>
      <w:pPr>
        <w:pStyle w:val="719"/>
        <w:numPr>
          <w:ilvl w:val="0"/>
          <w:numId w:val="32"/>
        </w:numPr>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Додаткова розробка (в межах існуючого програмного забезпечення), згідно затвердженого ТЗ</w:t>
      </w:r>
      <w:r/>
    </w:p>
    <w:p>
      <w:pPr>
        <w:pStyle w:val="719"/>
        <w:numPr>
          <w:ilvl w:val="0"/>
          <w:numId w:val="32"/>
        </w:numPr>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Інтеграція з Програмно-апаратним комплексом Міської інтеграційної платформи </w:t>
      </w:r>
      <w:r/>
    </w:p>
    <w:p>
      <w:pPr>
        <w:pStyle w:val="719"/>
        <w:numPr>
          <w:ilvl w:val="0"/>
          <w:numId w:val="32"/>
        </w:numPr>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Навчання співробітників Замовника</w:t>
      </w:r>
      <w:r/>
    </w:p>
    <w:p>
      <w:pPr>
        <w:pStyle w:val="719"/>
        <w:numPr>
          <w:ilvl w:val="0"/>
          <w:numId w:val="32"/>
        </w:numPr>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Вирішення проблем (troubleshooting)</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Загальні відомості про програмно-апаратний комплексу «Безпечна країна» </w:t>
      </w:r>
      <w:r>
        <w:rPr>
          <w:rFonts w:ascii="Times New Roman" w:hAnsi="Times New Roman" w:cs="Times New Roman"/>
          <w:sz w:val="24"/>
          <w:szCs w:val="24"/>
        </w:rPr>
        <w:t xml:space="preserve">(далі – ПАК «Безпечна країна»)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дозволяє персоналу, який займається питаннями охорони та безпеки, керувати технологіями, робочою силою, інцидентами та процедурами в повсякденній роботі та у надзвичайних ситуаціях.</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взаємодіє з усіма організаційними системами та пов'язує всіх кінцевих користувачів за допомогою веб-клієнта. Програмне забезпечення має готові інтеграції та окре</w:t>
      </w:r>
      <w:r>
        <w:rPr>
          <w:rFonts w:ascii="Times New Roman" w:hAnsi="Times New Roman" w:cs="Times New Roman"/>
          <w:sz w:val="24"/>
          <w:szCs w:val="24"/>
        </w:rPr>
        <w:t xml:space="preserve">мі модулі для взаємодії зі стороннім ПО, системами та датчиками. Програмне забезпечення забезпечує організаційну сумісність та ефективне управління технологічними системами, а також захист інформації, безпеку, логістику в одній системі та одній базі даних.</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
          <w:sz w:val="24"/>
          <w:szCs w:val="24"/>
        </w:rPr>
        <w:outlineLvl w:val="0"/>
      </w:pPr>
      <w:r>
        <w:rPr>
          <w:rFonts w:ascii="Times New Roman" w:hAnsi="Times New Roman" w:cs="Times New Roman"/>
          <w:b/>
          <w:sz w:val="24"/>
          <w:szCs w:val="24"/>
        </w:rPr>
        <w:t xml:space="preserve">Загальні характеристики ПАК «Безпечна країна»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забезпечує функціонування територіально розподіленої системи в масштабах країни, а також повну взаємодію усіх органів влади, а також є гнучким та здатним до розширення, здатним в будь-який момент інтегрувати новий тип даних.</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не має обмежень у кількості користувачів та їх ролей. </w:t>
      </w:r>
      <w:r/>
    </w:p>
    <w:p>
      <w:pPr>
        <w:ind w:firstLine="567"/>
        <w:jc w:val="both"/>
        <w:spacing w:after="0" w:line="240" w:lineRule="auto"/>
        <w:rPr>
          <w:rFonts w:ascii="Times New Roman" w:hAnsi="Times New Roman" w:cs="Times New Roman"/>
          <w:sz w:val="24"/>
          <w:szCs w:val="24"/>
        </w:rPr>
        <w:outlineLvl w:val="0"/>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Архітектура ПАК «Безпечна країна»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поділяється на три логічні рівні програмного забезпечення:</w:t>
      </w:r>
      <w:r/>
    </w:p>
    <w:p>
      <w:pPr>
        <w:pStyle w:val="719"/>
        <w:ind w:left="927"/>
        <w:spacing w:after="0" w:line="240" w:lineRule="auto"/>
        <w:rPr>
          <w:rFonts w:ascii="Times New Roman" w:hAnsi="Times New Roman" w:cs="Times New Roman"/>
          <w:sz w:val="24"/>
          <w:szCs w:val="24"/>
          <w:u w:val="single"/>
          <w:lang w:val="uk-UA"/>
        </w:rPr>
      </w:pPr>
      <w:r/>
      <w:bookmarkStart w:id="0" w:name="_Toc59019318"/>
      <w:r/>
      <w:r/>
    </w:p>
    <w:p>
      <w:pPr>
        <w:pStyle w:val="719"/>
        <w:numPr>
          <w:ilvl w:val="0"/>
          <w:numId w:val="33"/>
        </w:numPr>
        <w:jc w:val="both"/>
        <w:spacing w:after="0" w:line="240" w:lineRule="auto"/>
        <w:rPr>
          <w:rFonts w:ascii="Times New Roman" w:hAnsi="Times New Roman" w:cs="Times New Roman"/>
          <w:sz w:val="24"/>
          <w:szCs w:val="24"/>
          <w:u w:val="single"/>
          <w:lang w:val="uk-UA"/>
        </w:rPr>
      </w:pPr>
      <w:r>
        <w:rPr>
          <w:rFonts w:ascii="Times New Roman" w:hAnsi="Times New Roman" w:cs="Times New Roman"/>
          <w:sz w:val="24"/>
          <w:szCs w:val="24"/>
          <w:u w:val="single"/>
          <w:lang w:val="uk-UA"/>
        </w:rPr>
        <w:t xml:space="preserve">Зовнішній  — розширений інтерфейс користувача</w:t>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технологій для оперативного реагування, сис</w:t>
      </w:r>
      <w:r>
        <w:rPr>
          <w:rFonts w:ascii="Times New Roman" w:hAnsi="Times New Roman" w:cs="Times New Roman"/>
          <w:sz w:val="24"/>
          <w:szCs w:val="24"/>
        </w:rPr>
        <w:t xml:space="preserve">тема командно-адміністративного управління на основі Інтернет, адаптована до вимог користувача. Запускається на веб-клієнті для персонального комп'ютера (ПК) у центрі управління та на відеостіні або на персональному планшеті/ноутбуці на віддаленому посту.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Веб-портал має гнучку архітектуру і надає доступ для різних груп користувачів, наприклад: співробітники, служби, адміністратори, мешканці міста та інші, на основі єдиного порталу, який може видозмінюватись у </w:t>
      </w:r>
      <w:r>
        <w:rPr>
          <w:rFonts w:ascii="Times New Roman" w:hAnsi="Times New Roman" w:cs="Times New Roman"/>
          <w:sz w:val="24"/>
          <w:szCs w:val="24"/>
        </w:rPr>
        <w:t xml:space="preserve">залежності від типу користувача, його рівню доступу, функціональних обов’язків та багатьох інших критеріїв. Також портал забезпечує функції  реєстрації відвідувачів, визначення часу та відвідуваності, інцидентів, завдань, оцінок, календаря діяльності тощо.</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забезпечує єдину точку входу як для користувачів так і для адміністраторів і мешканців міста, які повинні отримувати доступ до системи за допомогою мобільного застосунку. </w:t>
      </w:r>
      <w:bookmarkStart w:id="1" w:name="_Toc59019319"/>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19"/>
        <w:numPr>
          <w:ilvl w:val="0"/>
          <w:numId w:val="33"/>
        </w:numPr>
        <w:jc w:val="both"/>
        <w:spacing w:after="0" w:line="240" w:lineRule="auto"/>
        <w:rPr>
          <w:rFonts w:ascii="Times New Roman" w:hAnsi="Times New Roman" w:cs="Times New Roman"/>
          <w:sz w:val="24"/>
          <w:szCs w:val="24"/>
          <w:u w:val="single"/>
          <w:lang w:val="uk-UA"/>
        </w:rPr>
      </w:pPr>
      <w:r>
        <w:rPr>
          <w:rFonts w:ascii="Times New Roman" w:hAnsi="Times New Roman" w:cs="Times New Roman"/>
          <w:sz w:val="24"/>
          <w:szCs w:val="24"/>
          <w:u w:val="single"/>
          <w:lang w:val="uk-UA"/>
        </w:rPr>
        <w:t xml:space="preserve">Логічний рівень — оброблення даних, робочий процес, встановлення пріоритетів та ескалація.</w:t>
      </w:r>
      <w:bookmarkEnd w:id="1"/>
      <w:r/>
      <w:r/>
    </w:p>
    <w:p>
      <w:pPr>
        <w:ind w:firstLine="56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забезпечує наступні функції та відповідає таким критеріям:</w:t>
      </w:r>
      <w:r/>
    </w:p>
    <w:p>
      <w:pPr>
        <w:pStyle w:val="719"/>
        <w:numPr>
          <w:ilvl w:val="0"/>
          <w:numId w:val="34"/>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високий рівень гнучкості ;</w:t>
      </w:r>
      <w:r/>
    </w:p>
    <w:p>
      <w:pPr>
        <w:pStyle w:val="719"/>
        <w:numPr>
          <w:ilvl w:val="0"/>
          <w:numId w:val="34"/>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розширену обробку правил ;</w:t>
      </w:r>
      <w:r/>
    </w:p>
    <w:p>
      <w:pPr>
        <w:pStyle w:val="719"/>
        <w:numPr>
          <w:ilvl w:val="0"/>
          <w:numId w:val="34"/>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модуль автоматизованих дій для визначення рівня логіки адміністративної та  оперативної діяльності ; </w:t>
      </w:r>
      <w:r/>
    </w:p>
    <w:p>
      <w:pPr>
        <w:pStyle w:val="719"/>
        <w:numPr>
          <w:ilvl w:val="0"/>
          <w:numId w:val="34"/>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оцінка ефективності як окремих службовців, підрозділів ;</w:t>
      </w:r>
      <w:r/>
    </w:p>
    <w:p>
      <w:pPr>
        <w:pStyle w:val="719"/>
        <w:numPr>
          <w:ilvl w:val="0"/>
          <w:numId w:val="34"/>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налаштування індивідуальних правил ;</w:t>
      </w:r>
      <w:r/>
    </w:p>
    <w:p>
      <w:pPr>
        <w:pStyle w:val="719"/>
        <w:numPr>
          <w:ilvl w:val="0"/>
          <w:numId w:val="34"/>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менеджера робочих процесів та дерева рішень ;</w:t>
      </w:r>
      <w:r/>
    </w:p>
    <w:p>
      <w:pPr>
        <w:pStyle w:val="719"/>
        <w:numPr>
          <w:ilvl w:val="0"/>
          <w:numId w:val="34"/>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визначення умов та результатів у логічній формі (якщо-та/або-тоді).</w:t>
      </w:r>
      <w:bookmarkStart w:id="2" w:name="_Toc59019320"/>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19"/>
        <w:numPr>
          <w:ilvl w:val="0"/>
          <w:numId w:val="33"/>
        </w:numPr>
        <w:jc w:val="both"/>
        <w:spacing w:after="0" w:line="240" w:lineRule="auto"/>
        <w:rPr>
          <w:rFonts w:ascii="Times New Roman" w:hAnsi="Times New Roman" w:cs="Times New Roman"/>
          <w:sz w:val="24"/>
          <w:szCs w:val="24"/>
          <w:u w:val="single"/>
          <w:lang w:val="uk-UA"/>
        </w:rPr>
      </w:pPr>
      <w:r>
        <w:rPr>
          <w:rFonts w:ascii="Times New Roman" w:hAnsi="Times New Roman" w:cs="Times New Roman"/>
          <w:sz w:val="24"/>
          <w:szCs w:val="24"/>
          <w:u w:val="single"/>
          <w:lang w:val="uk-UA"/>
        </w:rPr>
        <w:t xml:space="preserve">Рівень бази даних — для реєстрації та збереження всіх системних даних у всіх модулях та об'єктах</w:t>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системою є повністю надлишковою, безпечною та зашифровує критично важливі приватні дані відповідно до Загального регламенту ЄС щодо захисту даних (GDPR, General Data Protection Regulation).</w:t>
      </w:r>
      <w:r/>
    </w:p>
    <w:p>
      <w:pPr>
        <w:ind w:firstLine="567"/>
        <w:spacing w:after="0" w:line="240" w:lineRule="auto"/>
        <w:rPr>
          <w:rFonts w:ascii="Times New Roman" w:hAnsi="Times New Roman" w:cs="Times New Roman"/>
          <w:b/>
          <w:sz w:val="24"/>
          <w:szCs w:val="24"/>
        </w:rPr>
      </w:pPr>
      <w:r/>
      <w:bookmarkStart w:id="3" w:name="_Toc58502352"/>
      <w:r/>
      <w:bookmarkStart w:id="4" w:name="_Toc58491939"/>
      <w:r/>
      <w:bookmarkStart w:id="5" w:name="_Toc58502351"/>
      <w:r/>
      <w:bookmarkStart w:id="6" w:name="_Toc58491938"/>
      <w:r/>
      <w:bookmarkStart w:id="7" w:name="_Toc58502350"/>
      <w:r/>
      <w:bookmarkStart w:id="8" w:name="_Toc58491937"/>
      <w:r/>
      <w:bookmarkStart w:id="9" w:name="_Toc59019321"/>
      <w:r/>
      <w:bookmarkEnd w:id="3"/>
      <w:r/>
      <w:bookmarkEnd w:id="4"/>
      <w:r/>
      <w:bookmarkEnd w:id="5"/>
      <w:r/>
      <w:bookmarkEnd w:id="6"/>
      <w:r/>
      <w:bookmarkEnd w:id="7"/>
      <w:r/>
      <w:bookmarkEnd w:id="8"/>
      <w:r/>
      <w:r/>
    </w:p>
    <w:p>
      <w:pPr>
        <w:ind w:firstLine="567"/>
        <w:jc w:val="both"/>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Структура ПАК «Безпечна країна» та взаємодія між компонентами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Згідно концепції платформа «Безпечна країна» повинна бути побудований за трирівневою моделлю (Центр - Регіон - Місцевий рівень (ОТГ)).</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Відповідно архітектура  ПАК «Безпечна країна» має передбачати три рівні:</w:t>
      </w:r>
      <w:r/>
    </w:p>
    <w:p>
      <w:pPr>
        <w:pStyle w:val="719"/>
        <w:numPr>
          <w:ilvl w:val="0"/>
          <w:numId w:val="35"/>
        </w:numPr>
        <w:spacing w:before="120"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Центральний;</w:t>
      </w:r>
      <w:r/>
    </w:p>
    <w:p>
      <w:pPr>
        <w:pStyle w:val="719"/>
        <w:numPr>
          <w:ilvl w:val="0"/>
          <w:numId w:val="35"/>
        </w:numPr>
        <w:spacing w:before="120"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Регіональний;</w:t>
      </w:r>
      <w:r/>
    </w:p>
    <w:p>
      <w:pPr>
        <w:pStyle w:val="719"/>
        <w:numPr>
          <w:ilvl w:val="0"/>
          <w:numId w:val="35"/>
        </w:numPr>
        <w:spacing w:before="120"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Місцевий.</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Дані для аналізу та статистики з регіонального рівня повинні передаватися для обробки на центральний рівень, а з місцевого – на регіональний.</w:t>
      </w:r>
      <w:r/>
    </w:p>
    <w:p>
      <w:pPr>
        <w:ind w:firstLine="567"/>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spacing w:after="0" w:line="240" w:lineRule="auto"/>
        <w:rPr>
          <w:rFonts w:ascii="Times New Roman" w:hAnsi="Times New Roman" w:cs="Times New Roman"/>
          <w:b/>
          <w:sz w:val="24"/>
          <w:szCs w:val="24"/>
          <w:u w:val="single"/>
        </w:rPr>
        <w:outlineLvl w:val="0"/>
      </w:pPr>
      <w:r/>
      <w:bookmarkStart w:id="10" w:name="_Toc58502377"/>
      <w:r/>
      <w:bookmarkStart w:id="11" w:name="_Toc58502376"/>
      <w:r/>
      <w:bookmarkStart w:id="12" w:name="_Toc58502375"/>
      <w:r/>
      <w:bookmarkStart w:id="13" w:name="_Toc58502374"/>
      <w:r/>
      <w:bookmarkStart w:id="14" w:name="_Toc58502373"/>
      <w:r/>
      <w:bookmarkStart w:id="15" w:name="_Toc58502372"/>
      <w:r/>
      <w:bookmarkStart w:id="16" w:name="_Toc58502371"/>
      <w:r/>
      <w:bookmarkStart w:id="17" w:name="_Toc58502370"/>
      <w:r/>
      <w:bookmarkStart w:id="18" w:name="_Toc58502369"/>
      <w:r/>
      <w:bookmarkStart w:id="19" w:name="_Toc58502368"/>
      <w:r/>
      <w:bookmarkStart w:id="20" w:name="_Toc58502367"/>
      <w:r/>
      <w:bookmarkStart w:id="21" w:name="_Toc58502366"/>
      <w:r/>
      <w:bookmarkStart w:id="22" w:name="_Toc58502365"/>
      <w:r/>
      <w:bookmarkStart w:id="23" w:name="_Toc58502364"/>
      <w:r/>
      <w:bookmarkStart w:id="24" w:name="_Toc58502363"/>
      <w:r/>
      <w:bookmarkStart w:id="25" w:name="_Toc58502362"/>
      <w:r/>
      <w:bookmarkStart w:id="26" w:name="_Toc58502361"/>
      <w:r/>
      <w:bookmarkStart w:id="27" w:name="_Toc58502360"/>
      <w:r/>
      <w:bookmarkStart w:id="28" w:name="_Toc58502359"/>
      <w:r/>
      <w:bookmarkStart w:id="29" w:name="_Toc58502358"/>
      <w:r/>
      <w:bookmarkStart w:id="30" w:name="_Toc58502357"/>
      <w:r/>
      <w:bookmarkStart w:id="31" w:name="_Toc58502356"/>
      <w:r/>
      <w:bookmarkStart w:id="32" w:name="_Toc58502355"/>
      <w:r/>
      <w:bookmarkStart w:id="33" w:name="_Toc58502354"/>
      <w:r/>
      <w:bookmarkEnd w:id="9"/>
      <w:r/>
      <w:bookmarkEnd w:id="10"/>
      <w:r/>
      <w:bookmarkEnd w:id="11"/>
      <w:r/>
      <w:bookmarkEnd w:id="12"/>
      <w:r/>
      <w:bookmarkEnd w:id="13"/>
      <w:r/>
      <w:bookmarkEnd w:id="14"/>
      <w:r/>
      <w:bookmarkEnd w:id="15"/>
      <w:r/>
      <w:bookmarkEnd w:id="16"/>
      <w:r/>
      <w:bookmarkEnd w:id="17"/>
      <w:r/>
      <w:bookmarkEnd w:id="18"/>
      <w:r/>
      <w:bookmarkEnd w:id="19"/>
      <w:r/>
      <w:bookmarkEnd w:id="20"/>
      <w:r/>
      <w:bookmarkEnd w:id="21"/>
      <w:r/>
      <w:bookmarkEnd w:id="22"/>
      <w:r/>
      <w:bookmarkEnd w:id="23"/>
      <w:r/>
      <w:bookmarkEnd w:id="24"/>
      <w:r/>
      <w:bookmarkEnd w:id="25"/>
      <w:r/>
      <w:bookmarkEnd w:id="26"/>
      <w:r/>
      <w:bookmarkEnd w:id="27"/>
      <w:r/>
      <w:bookmarkEnd w:id="28"/>
      <w:r/>
      <w:bookmarkEnd w:id="29"/>
      <w:r/>
      <w:bookmarkEnd w:id="30"/>
      <w:r/>
      <w:bookmarkEnd w:id="31"/>
      <w:r/>
      <w:bookmarkEnd w:id="32"/>
      <w:r/>
      <w:bookmarkEnd w:id="33"/>
      <w:r>
        <w:rPr>
          <w:rFonts w:ascii="Times New Roman" w:hAnsi="Times New Roman" w:cs="Times New Roman"/>
          <w:b/>
          <w:sz w:val="24"/>
          <w:szCs w:val="24"/>
          <w:u w:val="single"/>
        </w:rPr>
        <w:t xml:space="preserve">Склад ПАК «Безпечна країна»</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ПАК «Безпечна країна» складається з двох взаємопов’язаних комплексів:</w:t>
      </w:r>
      <w:r/>
    </w:p>
    <w:p>
      <w:pPr>
        <w:pStyle w:val="719"/>
        <w:numPr>
          <w:ilvl w:val="0"/>
          <w:numId w:val="3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Програмний комплекс</w:t>
      </w:r>
      <w:r/>
    </w:p>
    <w:p>
      <w:pPr>
        <w:pStyle w:val="719"/>
        <w:numPr>
          <w:ilvl w:val="0"/>
          <w:numId w:val="3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Апаратний комплекс</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Взаємозв’язок цих двох компонент дає можливість ПАК «Безпечна країна» підтримувати ряд наступних функціональних можливостей з використанням модульної структури: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Інтегрований механізм командно-адміністративного управління з відкритою архітектурою з інтерфейсом програмування застосунків (API),</w:t>
      </w:r>
      <w:r>
        <w:rPr>
          <w:rFonts w:ascii="Times New Roman" w:hAnsi="Times New Roman" w:cs="Times New Roman"/>
          <w:sz w:val="24"/>
          <w:szCs w:val="24"/>
        </w:rPr>
        <w:t xml:space="preserve"> що забезпечує інтеграцію та злиття таких систем, як: система відеоспостереження, </w:t>
      </w:r>
      <w:r>
        <w:rPr>
          <w:rFonts w:ascii="Times New Roman" w:hAnsi="Times New Roman" w:cs="Times New Roman"/>
          <w:sz w:val="24"/>
          <w:szCs w:val="24"/>
        </w:rPr>
        <w:t xml:space="preserve">система сигналізації про несанкціоноване проникнення, система контролю доступу, система пожежної сигналізації, система публічних оголошень, система охорони периметру, радіолокаційна система, система управління дронами, інформаційно-комунікаційні технології</w:t>
      </w:r>
      <w:r>
        <w:rPr>
          <w:rFonts w:ascii="Times New Roman" w:hAnsi="Times New Roman" w:cs="Times New Roman"/>
          <w:sz w:val="24"/>
          <w:szCs w:val="24"/>
        </w:rPr>
        <w:t xml:space="preserve">, система IP-телефонії, SIP, система радіозв'язку, контролери будівель, системи кібербезпеки, система планування ресурсів підприємства (ERP), система управління відносинами з клієнтами (CRM), ІТ та зовнішні джерела даних, система розвідки та соціальні мере</w:t>
      </w:r>
      <w:r>
        <w:rPr>
          <w:rFonts w:ascii="Times New Roman" w:hAnsi="Times New Roman" w:cs="Times New Roman"/>
          <w:sz w:val="24"/>
          <w:szCs w:val="24"/>
        </w:rPr>
        <w:t xml:space="preserve">жі, а також всі інші сторонні системи. Включає складний обробник правил та систему управління датчиками для визначення робочих процесів та автоматизації. Інтерфейс API є доступний для третіх сторін для написання власних з’єднувачів для певних типів систем.</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Управління відеоданими</w:t>
      </w:r>
      <w:r>
        <w:rPr>
          <w:rFonts w:ascii="Times New Roman" w:hAnsi="Times New Roman" w:cs="Times New Roman"/>
          <w:sz w:val="24"/>
          <w:szCs w:val="24"/>
        </w:rPr>
        <w:t xml:space="preserve"> — реалізує різні можливості для інтеграції систем управління відеоданими та відображення камер, включаючи відображення камер прямо з геоінформаційної системи (ГІС), через відеопанель, через виділену відеоматрицю.</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Сервер потокового відео</w:t>
      </w:r>
      <w:r>
        <w:rPr>
          <w:rFonts w:ascii="Times New Roman" w:hAnsi="Times New Roman" w:cs="Times New Roman"/>
          <w:sz w:val="24"/>
          <w:szCs w:val="24"/>
        </w:rPr>
        <w:t xml:space="preserve"> — для віддалених камер, що підключаються до багатоканального обробника потокового відео системи. Дозволяє переглядати наживо зображення цих камер будь-якому віддаленому користувачеві.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Обробник ГІС</w:t>
      </w:r>
      <w:r>
        <w:rPr>
          <w:rFonts w:ascii="Times New Roman" w:hAnsi="Times New Roman" w:cs="Times New Roman"/>
          <w:sz w:val="24"/>
          <w:szCs w:val="24"/>
        </w:rPr>
        <w:t xml:space="preserve"> — для управління </w:t>
      </w:r>
      <w:r>
        <w:rPr>
          <w:rFonts w:ascii="Times New Roman" w:hAnsi="Times New Roman" w:cs="Times New Roman"/>
          <w:sz w:val="24"/>
          <w:szCs w:val="24"/>
        </w:rPr>
        <w:t xml:space="preserve">динамічними рівнями даних з географічною прив'язкою, відстеження в режимі реального часу, а також для відображення, управління та активації даних пристроїв прямо з карти, відображення векторних та повітряних зображень, віртуальних огорож тощо. Двовимірна т</w:t>
      </w:r>
      <w:r>
        <w:rPr>
          <w:rFonts w:ascii="Times New Roman" w:hAnsi="Times New Roman" w:cs="Times New Roman"/>
          <w:sz w:val="24"/>
          <w:szCs w:val="24"/>
        </w:rPr>
        <w:t xml:space="preserve">а тривимірна компоновка об’єкта та поверхові плани — відображення всіх планів будівлі та креслень, поверхових планів, розташування датчиків та пристроїв тощо, включаючи підтримку тривимірного динамічного відображення будівлі з датчиками зовні та зсередини.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Система управління інцидентами</w:t>
      </w:r>
      <w:r>
        <w:rPr>
          <w:rFonts w:ascii="Times New Roman" w:hAnsi="Times New Roman" w:cs="Times New Roman"/>
          <w:sz w:val="24"/>
          <w:szCs w:val="24"/>
        </w:rPr>
        <w:t xml:space="preserve"> — для автоматичного повідомлення про інциденти, що дозволяє здійснювати зіставлення даних, злиття та аналіз із використанням шаблонів інцидентів, дерева сортування та ескалації для управління інцидентами.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Стандартні операційні процедури (SOP)</w:t>
      </w:r>
      <w:r>
        <w:rPr>
          <w:rFonts w:ascii="Times New Roman" w:hAnsi="Times New Roman" w:cs="Times New Roman"/>
          <w:sz w:val="24"/>
          <w:szCs w:val="24"/>
        </w:rPr>
        <w:t xml:space="preserve"> — протокол подій, робочий процес, управління процедурами та безперервність робочого процесу, що дозволяє автоматизувати процеси та розповсюджувати автоматизовані команди в інтегрованих підсистемах.</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масового оповіщення — включає push-повідомлення, безкоштовну систему масової передачі повідомлень та електронну пошту.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Система бізнес-аналітики (BI)</w:t>
      </w:r>
      <w:r>
        <w:rPr>
          <w:rFonts w:ascii="Times New Roman" w:hAnsi="Times New Roman" w:cs="Times New Roman"/>
          <w:sz w:val="24"/>
          <w:szCs w:val="24"/>
        </w:rPr>
        <w:t xml:space="preserve"> — дозволяє отримувати звіти з динамічними даними на основі усіх накопичених даних системи, включаючи аналіз, тенденції та прогнози в реальному часі. Дозволяє вибирати будь-які статистичні дані, отримані від найдавніших до поточних записів.</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Модуль організаційної ієрархії</w:t>
      </w:r>
      <w:r>
        <w:rPr>
          <w:rFonts w:ascii="Times New Roman" w:hAnsi="Times New Roman" w:cs="Times New Roman"/>
          <w:sz w:val="24"/>
          <w:szCs w:val="24"/>
        </w:rPr>
        <w:t xml:space="preserve"> — визначення ло</w:t>
      </w:r>
      <w:r>
        <w:rPr>
          <w:rFonts w:ascii="Times New Roman" w:hAnsi="Times New Roman" w:cs="Times New Roman"/>
          <w:sz w:val="24"/>
          <w:szCs w:val="24"/>
        </w:rPr>
        <w:t xml:space="preserve">калізованого середовища на основі багатоклієнтської архітектури системи. Це локальні центри команд і центри обробки, які розподілені на одному сервері та базі даних. Локальні командні центри мають своє власне середовище та доступ до своїх локальних ГІС, ел</w:t>
      </w:r>
      <w:r>
        <w:rPr>
          <w:rFonts w:ascii="Times New Roman" w:hAnsi="Times New Roman" w:cs="Times New Roman"/>
          <w:sz w:val="24"/>
          <w:szCs w:val="24"/>
        </w:rPr>
        <w:t xml:space="preserve">ементів інтеграції, а також датчиків, інцидентів, персоналу, дозволів тощо. Верхня організація може визначати вертикальну і горизонтальну структуру команд, а верхня команда може втручатися і отримувати доступ до інформації нижчих командних центрів під нею.</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Календар діяльності</w:t>
      </w:r>
      <w:r>
        <w:rPr>
          <w:rFonts w:ascii="Times New Roman" w:hAnsi="Times New Roman" w:cs="Times New Roman"/>
          <w:sz w:val="24"/>
          <w:szCs w:val="24"/>
        </w:rPr>
        <w:t xml:space="preserve"> — дозволяє здійснювати створення та керування розпорядком дня та заздалегідь запланованими подіями, інтегрованими в модуль управління інцидентами, щоб забезпечити безперебійний потік даних подій, що стосуються інцидентів.</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Управління датчиками та обробник правил з автоматизованими діями</w:t>
      </w:r>
      <w:r>
        <w:rPr>
          <w:rFonts w:ascii="Times New Roman" w:hAnsi="Times New Roman" w:cs="Times New Roman"/>
          <w:sz w:val="24"/>
          <w:szCs w:val="24"/>
        </w:rPr>
        <w:t xml:space="preserve"> — моніторинг даних датчиків, відображення датчик</w:t>
      </w:r>
      <w:r>
        <w:rPr>
          <w:rFonts w:ascii="Times New Roman" w:hAnsi="Times New Roman" w:cs="Times New Roman"/>
          <w:sz w:val="24"/>
          <w:szCs w:val="24"/>
        </w:rPr>
        <w:t xml:space="preserve">ів в ГІС або на двовимірній карті, управління датчиками за допомогою команд, створення простих або складних сценаріїв та визначення автоматизованих операцій за допомогою обробника правил, а також управління подіями, що надходять від інтеграційного сервера.</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spacing w:after="0" w:line="240" w:lineRule="auto"/>
        <w:rPr>
          <w:rFonts w:ascii="Times New Roman" w:hAnsi="Times New Roman" w:cs="Times New Roman"/>
          <w:sz w:val="24"/>
          <w:szCs w:val="24"/>
        </w:rPr>
      </w:pPr>
      <w:r/>
      <w:bookmarkStart w:id="34" w:name="_Hlk71271926"/>
      <w:r>
        <w:rPr>
          <w:rFonts w:ascii="Times New Roman" w:hAnsi="Times New Roman" w:cs="Times New Roman"/>
          <w:sz w:val="24"/>
          <w:szCs w:val="24"/>
        </w:rPr>
        <w:t xml:space="preserve">Програмний комплекс складається з наступних компонент:</w:t>
      </w:r>
      <w:r/>
    </w:p>
    <w:p>
      <w:pPr>
        <w:ind w:firstLine="567"/>
        <w:spacing w:after="0" w:line="240" w:lineRule="auto"/>
        <w:rPr>
          <w:rFonts w:ascii="Times New Roman" w:hAnsi="Times New Roman" w:cs="Times New Roman"/>
          <w:sz w:val="24"/>
          <w:szCs w:val="24"/>
        </w:rPr>
      </w:pPr>
      <w:r>
        <w:rPr>
          <w:rFonts w:ascii="Times New Roman" w:hAnsi="Times New Roman" w:cs="Times New Roman"/>
          <w:sz w:val="24"/>
          <w:szCs w:val="24"/>
        </w:rPr>
      </w:r>
      <w:bookmarkEnd w:id="34"/>
      <w:r/>
    </w:p>
    <w:tbl>
      <w:tblPr>
        <w:tblStyle w:val="721"/>
        <w:tblW w:w="9351" w:type="dxa"/>
        <w:tblLook w:val="04A0" w:firstRow="1" w:lastRow="0" w:firstColumn="1" w:lastColumn="0" w:noHBand="0" w:noVBand="1"/>
      </w:tblPr>
      <w:tblGrid>
        <w:gridCol w:w="3114"/>
        <w:gridCol w:w="6237"/>
      </w:tblGrid>
      <w:tr>
        <w:trPr/>
        <w:tc>
          <w:tcPr>
            <w:tcBorders>
              <w:top w:val="single" w:color="auto" w:sz="4" w:space="0"/>
              <w:left w:val="single" w:color="auto" w:sz="4" w:space="0"/>
              <w:bottom w:val="single" w:color="auto" w:sz="4" w:space="0"/>
              <w:right w:val="single" w:color="auto" w:sz="4" w:space="0"/>
            </w:tcBorders>
            <w:tcW w:w="311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керування інформацією та безпекою</w:t>
            </w: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OCTOPUS SafeCountry – 1 од.</w:t>
            </w:r>
            <w:r/>
          </w:p>
        </w:tc>
      </w:tr>
      <w:tr>
        <w:trPr/>
        <w:tc>
          <w:tcPr>
            <w:tcBorders>
              <w:top w:val="single" w:color="auto" w:sz="4" w:space="0"/>
              <w:left w:val="single" w:color="auto" w:sz="4" w:space="0"/>
              <w:bottom w:val="single" w:color="auto" w:sz="4" w:space="0"/>
              <w:right w:val="single" w:color="auto" w:sz="4" w:space="0"/>
            </w:tcBorders>
            <w:tcW w:w="311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керування відеонаглядом</w:t>
            </w: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Milestone XProtect Corporate Base License – 2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Milestone 1 year Care Plus for XProtect Corporate Base License – 2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Milestone XProtect Corporate Device License – 1403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Milestone 1 year Care Plus for XProtect Corporate Device License – 1403 од.</w:t>
            </w:r>
            <w:r/>
          </w:p>
        </w:tc>
      </w:tr>
      <w:tr>
        <w:trPr/>
        <w:tc>
          <w:tcPr>
            <w:tcBorders>
              <w:top w:val="single" w:color="auto" w:sz="4" w:space="0"/>
              <w:left w:val="single" w:color="auto" w:sz="4" w:space="0"/>
              <w:bottom w:val="single" w:color="auto" w:sz="4" w:space="0"/>
              <w:right w:val="single" w:color="auto" w:sz="4" w:space="0"/>
            </w:tcBorders>
            <w:tcW w:w="311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розпізнавання обличь</w:t>
            </w: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BioSurveillance NEXT – 15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BioSurveillance Master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BioAlarm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BioCom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BioDatabase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BioMail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BioCompare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BioFinder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BioDatabase на 100.000 осіб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Herta 5Serv-05-HES3 – 1 од.</w:t>
            </w:r>
            <w:r/>
          </w:p>
        </w:tc>
      </w:tr>
      <w:tr>
        <w:trPr/>
        <w:tc>
          <w:tcPr>
            <w:tcBorders>
              <w:top w:val="single" w:color="auto" w:sz="4" w:space="0"/>
              <w:left w:val="single" w:color="auto" w:sz="4" w:space="0"/>
              <w:bottom w:val="single" w:color="auto" w:sz="4" w:space="0"/>
              <w:right w:val="single" w:color="auto" w:sz="4" w:space="0"/>
            </w:tcBorders>
            <w:tcW w:w="311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поведінкової аналітики</w:t>
            </w: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Incoresoft VEZHA Traffic Analytics – 100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Incoresoft VEZHA Traffic of People – 50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Incoresoft VEZHA Crowds of People – 50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Incoresoft VEZHA Object in Zone – 100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Incoresoft VEZHA HEAT MAP – 50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Incoresoft VEZHA Fire Detect – 50 од.</w:t>
            </w:r>
            <w:r/>
          </w:p>
        </w:tc>
      </w:tr>
      <w:tr>
        <w:trPr/>
        <w:tc>
          <w:tcPr>
            <w:tcBorders>
              <w:top w:val="single" w:color="auto" w:sz="4" w:space="0"/>
              <w:left w:val="single" w:color="auto" w:sz="4" w:space="0"/>
              <w:bottom w:val="single" w:color="auto" w:sz="4" w:space="0"/>
              <w:right w:val="single" w:color="auto" w:sz="4" w:space="0"/>
            </w:tcBorders>
            <w:tcW w:w="311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аналітики розслідувань</w:t>
            </w: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BriefCam Insights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BriefCam Camera Add-on – 300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BriefCam RESPOND Channel Add-on up to 100 channels of Cameras 1 – 5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BriefCam REVIEW/RESPOND User Pack Additional Concurrent User (1)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BriefCam RESEARCH User Pack of Named Users 5 (1 x Editor; 4 x Viewer) – 1 од.</w:t>
            </w:r>
            <w:r/>
          </w:p>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BriefCam Annual Maintenance - 1 Year – 1 од.</w:t>
            </w:r>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Апаратний комплекс складається з:</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Style w:val="721"/>
        <w:tblW w:w="0" w:type="auto"/>
        <w:tblLook w:val="04A0" w:firstRow="1" w:lastRow="0" w:firstColumn="1" w:lastColumn="0" w:noHBand="0" w:noVBand="1"/>
      </w:tblPr>
      <w:tblGrid>
        <w:gridCol w:w="4505"/>
        <w:gridCol w:w="4505"/>
      </w:tblGrid>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1Д</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Lenovo ThinkSystem SR650 V2 – 6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bCs/>
                <w:sz w:val="24"/>
                <w:szCs w:val="24"/>
                <w:u w:val="single"/>
              </w:rPr>
              <w:t xml:space="preserve">Сервер тип 2Д</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Dell EMC PowerEdge R750 – 4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1К</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NetApp FAS2750 -1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2К</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NetApp E2800A – 1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віртуалізації з підсистемами моніторингу та управління</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VMware vSphere 7 Enterprise Plus for 1 processor License for 3Yr S&amp;S – 20 од</w:t>
            </w:r>
            <w:r/>
          </w:p>
          <w:p>
            <w:pPr>
              <w:rPr>
                <w:rFonts w:ascii="Times New Roman" w:hAnsi="Times New Roman" w:cs="Times New Roman"/>
                <w:sz w:val="24"/>
                <w:szCs w:val="24"/>
              </w:rPr>
            </w:pPr>
            <w:r>
              <w:rPr>
                <w:rFonts w:ascii="Times New Roman" w:hAnsi="Times New Roman" w:cs="Times New Roman"/>
                <w:sz w:val="24"/>
                <w:szCs w:val="24"/>
              </w:rPr>
              <w:t xml:space="preserve">VMware vCenter Server 7 Standard for vSphere 7 (Per Instance) License for 3Yr – 1 од.</w:t>
            </w:r>
            <w:r/>
          </w:p>
          <w:p>
            <w:pPr>
              <w:rPr>
                <w:rFonts w:ascii="Times New Roman" w:hAnsi="Times New Roman" w:cs="Times New Roman"/>
                <w:sz w:val="24"/>
                <w:szCs w:val="24"/>
              </w:rPr>
            </w:pPr>
            <w:r>
              <w:rPr>
                <w:rFonts w:ascii="Times New Roman" w:hAnsi="Times New Roman" w:cs="Times New Roman"/>
                <w:sz w:val="24"/>
                <w:szCs w:val="24"/>
              </w:rPr>
              <w:t xml:space="preserve">Veeam Availability Suite Perpetual Universal License with 3 years of production support included – 3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Мережева фабрика тип 1Д</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Комплект мережевих контролерів Cisco APIC Cluster with virtual APIC – 1 од.</w:t>
            </w:r>
            <w:r/>
          </w:p>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Cisco Nexus N9K-C9332C – 2 од.</w:t>
            </w:r>
            <w:r/>
          </w:p>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Cisco Nexus N9K-C93180YC-FX – 2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1К</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Cisco Nexus N9K-C93180YC-EX-24 – 2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2К</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Cisco Catalyst 9200L 24-port data, 4 x 10G – 2 од</w:t>
            </w:r>
            <w:r/>
          </w:p>
        </w:tc>
      </w:tr>
      <w:tr>
        <w:trPr/>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 екран тип 1К</w:t>
            </w:r>
            <w:r/>
          </w:p>
        </w:tc>
        <w:tc>
          <w:tcPr>
            <w:tcBorders>
              <w:top w:val="single" w:color="auto" w:sz="4" w:space="0"/>
              <w:left w:val="single" w:color="auto" w:sz="4" w:space="0"/>
              <w:bottom w:val="single" w:color="auto" w:sz="4" w:space="0"/>
              <w:right w:val="single" w:color="auto" w:sz="4" w:space="0"/>
            </w:tcBorders>
            <w:tcW w:w="4505"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 екран Cisco Firepower 2130 NGFW Appliance, 1U – 1 од.</w:t>
            </w:r>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Склад послуги «Розгортання ПАК «Безпечна країна», що є предметом закупівлі, не менше ніж:</w:t>
      </w:r>
      <w:r/>
    </w:p>
    <w:tbl>
      <w:tblPr>
        <w:tblStyle w:val="721"/>
        <w:tblW w:w="9072" w:type="dxa"/>
        <w:tblInd w:w="-5" w:type="dxa"/>
        <w:tblLook w:val="04A0" w:firstRow="1" w:lastRow="0" w:firstColumn="1" w:lastColumn="0" w:noHBand="0" w:noVBand="1"/>
      </w:tblPr>
      <w:tblGrid>
        <w:gridCol w:w="669"/>
        <w:gridCol w:w="8403"/>
      </w:tblGrid>
      <w:tr>
        <w:trPr/>
        <w:tc>
          <w:tcPr>
            <w:tcBorders>
              <w:top w:val="single" w:color="auto" w:sz="4" w:space="0"/>
              <w:left w:val="single" w:color="auto" w:sz="4" w:space="0"/>
              <w:bottom w:val="single" w:color="auto" w:sz="4" w:space="0"/>
              <w:right w:val="single" w:color="auto" w:sz="4" w:space="0"/>
            </w:tcBorders>
            <w:tcW w:w="669" w:type="dxa"/>
            <w:textDirection w:val="lrTb"/>
            <w:noWrap w:val="false"/>
          </w:tcPr>
          <w:p>
            <w:pPr>
              <w:jc w:val="center"/>
              <w:rPr>
                <w:rFonts w:ascii="Times New Roman" w:hAnsi="Times New Roman" w:cs="Times New Roman"/>
                <w:sz w:val="24"/>
                <w:szCs w:val="24"/>
                <w:lang w:val="ru-RU"/>
              </w:rPr>
            </w:pPr>
            <w:r>
              <w:rPr>
                <w:rFonts w:ascii="Times New Roman" w:hAnsi="Times New Roman" w:cs="Times New Roman"/>
                <w:sz w:val="24"/>
                <w:szCs w:val="24"/>
              </w:rPr>
              <w:t xml:space="preserve">№ з/п</w:t>
            </w:r>
            <w:r/>
          </w:p>
        </w:tc>
        <w:tc>
          <w:tcPr>
            <w:tcBorders>
              <w:top w:val="single" w:color="auto" w:sz="4" w:space="0"/>
              <w:left w:val="single" w:color="auto" w:sz="4" w:space="0"/>
              <w:bottom w:val="single" w:color="auto" w:sz="4" w:space="0"/>
              <w:right w:val="single" w:color="auto" w:sz="4" w:space="0"/>
            </w:tcBorders>
            <w:tcW w:w="840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Назва складових Послуги</w:t>
            </w:r>
            <w:r/>
          </w:p>
        </w:tc>
      </w:tr>
      <w:tr>
        <w:trPr/>
        <w:tc>
          <w:tcPr>
            <w:tcBorders>
              <w:top w:val="single" w:color="auto" w:sz="4" w:space="0"/>
              <w:left w:val="single" w:color="auto" w:sz="4" w:space="0"/>
              <w:bottom w:val="single" w:color="auto" w:sz="4" w:space="0"/>
              <w:right w:val="single" w:color="auto" w:sz="4" w:space="0"/>
            </w:tcBorders>
            <w:tcW w:w="669" w:type="dxa"/>
            <w:textDirection w:val="lrTb"/>
            <w:noWrap w:val="false"/>
          </w:tcPr>
          <w:p>
            <w:pPr>
              <w:jc w:val="center"/>
              <w:rPr>
                <w:rFonts w:ascii="Times New Roman" w:hAnsi="Times New Roman" w:cs="Times New Roman"/>
                <w:sz w:val="24"/>
                <w:szCs w:val="24"/>
                <w:lang w:val="ru-RU"/>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8403" w:type="dxa"/>
            <w:textDirection w:val="lrTb"/>
            <w:noWrap w:val="false"/>
          </w:tcPr>
          <w:p>
            <w:pPr>
              <w:rPr>
                <w:rFonts w:ascii="Times New Roman" w:hAnsi="Times New Roman" w:cs="Times New Roman"/>
                <w:sz w:val="24"/>
                <w:szCs w:val="24"/>
              </w:rPr>
            </w:pPr>
            <w:r>
              <w:rPr>
                <w:rFonts w:ascii="Times New Roman" w:hAnsi="Times New Roman" w:cs="Times New Roman"/>
                <w:b/>
                <w:sz w:val="24"/>
                <w:szCs w:val="24"/>
              </w:rPr>
              <w:t xml:space="preserve">Розгортання ІТ-інфраструктури</w:t>
            </w:r>
            <w:r>
              <w:rPr>
                <w:rFonts w:ascii="Times New Roman" w:hAnsi="Times New Roman" w:cs="Times New Roman"/>
                <w:sz w:val="24"/>
                <w:szCs w:val="24"/>
              </w:rPr>
              <w:t xml:space="preserve">:</w:t>
            </w:r>
            <w:r/>
          </w:p>
          <w:p>
            <w:pPr>
              <w:rPr>
                <w:rFonts w:ascii="Times New Roman" w:hAnsi="Times New Roman" w:cs="Times New Roman"/>
                <w:sz w:val="24"/>
                <w:szCs w:val="24"/>
              </w:rPr>
            </w:pPr>
            <w:r>
              <w:rPr>
                <w:rFonts w:ascii="Times New Roman" w:hAnsi="Times New Roman" w:cs="Times New Roman"/>
                <w:sz w:val="24"/>
                <w:szCs w:val="24"/>
              </w:rPr>
              <w:t xml:space="preserve">- Монтаж обладнання:</w:t>
            </w:r>
            <w:r/>
          </w:p>
          <w:p>
            <w:pPr>
              <w:pStyle w:val="719"/>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Дослідження місця розміщення обладнання на предмет наявності і відповідності вимогам Інженерних мереж (охолодження, електроживлення) та СКС</w:t>
            </w:r>
            <w:r/>
          </w:p>
          <w:p>
            <w:pPr>
              <w:pStyle w:val="719"/>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Ознайомлення з документацією по правилам маркування, комутації та іншим внутрішнім вимогам до розміщення в ЦОД</w:t>
            </w:r>
            <w:r/>
          </w:p>
          <w:p>
            <w:pPr>
              <w:pStyle w:val="719"/>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Планування розміщення обладнання в шафі/шафах згідно найкращих практик</w:t>
            </w:r>
            <w:r/>
          </w:p>
          <w:p>
            <w:pPr>
              <w:pStyle w:val="719"/>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Монтаж і комутація обладнання</w:t>
            </w:r>
            <w:r/>
          </w:p>
          <w:p>
            <w:pPr>
              <w:rPr>
                <w:rFonts w:ascii="Times New Roman" w:hAnsi="Times New Roman" w:cs="Times New Roman"/>
                <w:sz w:val="24"/>
                <w:szCs w:val="24"/>
              </w:rPr>
            </w:pPr>
            <w:r>
              <w:rPr>
                <w:rFonts w:ascii="Times New Roman" w:hAnsi="Times New Roman" w:cs="Times New Roman"/>
                <w:sz w:val="24"/>
                <w:szCs w:val="24"/>
              </w:rPr>
              <w:t xml:space="preserve">- Запуск обладнання:</w:t>
            </w:r>
            <w:r/>
          </w:p>
          <w:p>
            <w:pPr>
              <w:pStyle w:val="719"/>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обладнання та виправлення помилок при наявності</w:t>
            </w:r>
            <w:r/>
          </w:p>
          <w:p>
            <w:pPr>
              <w:pStyle w:val="719"/>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Оновлення мікрокодів</w:t>
            </w:r>
            <w:r/>
          </w:p>
          <w:p>
            <w:pPr>
              <w:rPr>
                <w:rFonts w:ascii="Times New Roman" w:hAnsi="Times New Roman" w:cs="Times New Roman"/>
                <w:sz w:val="24"/>
                <w:szCs w:val="24"/>
              </w:rPr>
            </w:pPr>
            <w:r>
              <w:rPr>
                <w:rFonts w:ascii="Times New Roman" w:hAnsi="Times New Roman" w:cs="Times New Roman"/>
                <w:sz w:val="24"/>
                <w:szCs w:val="24"/>
              </w:rPr>
              <w:t xml:space="preserve">- Планування та впровадження мережевого сегменту:</w:t>
            </w:r>
            <w:r/>
          </w:p>
          <w:p>
            <w:pPr>
              <w:pStyle w:val="719"/>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Ознайомлення з документацією по мережі, до якої необхідно буде здійснити підключення</w:t>
            </w:r>
            <w:r/>
          </w:p>
          <w:p>
            <w:pPr>
              <w:pStyle w:val="719"/>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Оновлення мікрокодів обладнання</w:t>
            </w:r>
            <w:r/>
          </w:p>
          <w:p>
            <w:pPr>
              <w:pStyle w:val="719"/>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Розгортання</w:t>
            </w:r>
            <w:r>
              <w:rPr>
                <w:rFonts w:ascii="Times New Roman" w:hAnsi="Times New Roman" w:cs="Times New Roman"/>
                <w:sz w:val="24"/>
                <w:szCs w:val="24"/>
              </w:rPr>
              <w:t xml:space="preserve"> кластерів керування мережевою інфраструктурою</w:t>
            </w:r>
            <w:r/>
          </w:p>
          <w:p>
            <w:pPr>
              <w:pStyle w:val="719"/>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конфігурування програмно-визначеної мережі (Cisco ACI) </w:t>
            </w:r>
            <w:r>
              <w:rPr>
                <w:rFonts w:ascii="Times New Roman" w:hAnsi="Times New Roman" w:cs="Times New Roman"/>
                <w:sz w:val="24"/>
                <w:szCs w:val="24"/>
                <w:lang w:val="uk-UA"/>
              </w:rPr>
              <w:t xml:space="preserve">ПАК «Безпечна країна»</w:t>
            </w:r>
            <w:r/>
          </w:p>
          <w:p>
            <w:pPr>
              <w:rPr>
                <w:rFonts w:ascii="Times New Roman" w:hAnsi="Times New Roman" w:cs="Times New Roman"/>
                <w:sz w:val="24"/>
                <w:szCs w:val="24"/>
              </w:rPr>
            </w:pPr>
            <w:r>
              <w:rPr>
                <w:rFonts w:ascii="Times New Roman" w:hAnsi="Times New Roman" w:cs="Times New Roman"/>
                <w:sz w:val="24"/>
                <w:szCs w:val="24"/>
              </w:rPr>
            </w:r>
            <w:r/>
          </w:p>
        </w:tc>
      </w:tr>
      <w:tr>
        <w:trPr/>
        <w:tc>
          <w:tcPr>
            <w:tcBorders>
              <w:top w:val="single" w:color="auto" w:sz="4" w:space="0"/>
              <w:left w:val="single" w:color="auto" w:sz="4" w:space="0"/>
              <w:bottom w:val="single" w:color="auto" w:sz="4" w:space="0"/>
              <w:right w:val="single" w:color="auto" w:sz="4" w:space="0"/>
            </w:tcBorders>
            <w:tcW w:w="66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auto" w:sz="4" w:space="0"/>
              <w:left w:val="single" w:color="auto" w:sz="4" w:space="0"/>
              <w:bottom w:val="single" w:color="auto" w:sz="4" w:space="0"/>
              <w:right w:val="single" w:color="auto" w:sz="4" w:space="0"/>
            </w:tcBorders>
            <w:tcW w:w="8403" w:type="dxa"/>
            <w:textDirection w:val="lrTb"/>
            <w:noWrap w:val="false"/>
          </w:tcPr>
          <w:p>
            <w:pPr>
              <w:rPr>
                <w:rFonts w:ascii="Times New Roman" w:hAnsi="Times New Roman" w:cs="Times New Roman"/>
                <w:sz w:val="24"/>
                <w:szCs w:val="24"/>
              </w:rPr>
            </w:pPr>
            <w:r>
              <w:rPr>
                <w:rFonts w:ascii="Times New Roman" w:hAnsi="Times New Roman" w:cs="Times New Roman"/>
                <w:b/>
                <w:sz w:val="24"/>
                <w:szCs w:val="24"/>
              </w:rPr>
              <w:t xml:space="preserve">Розгортання та запуск програмного комплексу Безпечна Країна</w:t>
            </w:r>
            <w:r>
              <w:rPr>
                <w:rFonts w:ascii="Times New Roman" w:hAnsi="Times New Roman" w:cs="Times New Roman"/>
                <w:sz w:val="24"/>
                <w:szCs w:val="24"/>
              </w:rPr>
              <w:t xml:space="preserve">:</w:t>
            </w:r>
            <w:r/>
          </w:p>
          <w:p>
            <w:pPr>
              <w:rPr>
                <w:rFonts w:ascii="Times New Roman" w:hAnsi="Times New Roman" w:cs="Times New Roman"/>
                <w:sz w:val="24"/>
                <w:szCs w:val="24"/>
              </w:rPr>
            </w:pPr>
            <w:r>
              <w:rPr>
                <w:rFonts w:ascii="Times New Roman" w:hAnsi="Times New Roman" w:cs="Times New Roman"/>
                <w:sz w:val="24"/>
                <w:szCs w:val="24"/>
              </w:rPr>
              <w:t xml:space="preserve">- Запуск та конфігурування Системи керування інформацією та безпекою</w:t>
            </w:r>
            <w:r/>
          </w:p>
          <w:p>
            <w:pPr>
              <w:rPr>
                <w:rFonts w:ascii="Times New Roman" w:hAnsi="Times New Roman" w:cs="Times New Roman"/>
                <w:sz w:val="24"/>
                <w:szCs w:val="24"/>
              </w:rPr>
            </w:pPr>
            <w:r>
              <w:rPr>
                <w:rFonts w:ascii="Times New Roman" w:hAnsi="Times New Roman" w:cs="Times New Roman"/>
                <w:sz w:val="24"/>
                <w:szCs w:val="24"/>
              </w:rPr>
              <w:t xml:space="preserve">- Запуск та конфігурування Системи керування відеонаглядом</w:t>
            </w:r>
            <w:r/>
          </w:p>
          <w:p>
            <w:pPr>
              <w:rPr>
                <w:rFonts w:ascii="Times New Roman" w:hAnsi="Times New Roman" w:cs="Times New Roman"/>
                <w:sz w:val="24"/>
                <w:szCs w:val="24"/>
              </w:rPr>
            </w:pPr>
            <w:r>
              <w:rPr>
                <w:rFonts w:ascii="Times New Roman" w:hAnsi="Times New Roman" w:cs="Times New Roman"/>
                <w:sz w:val="24"/>
                <w:szCs w:val="24"/>
              </w:rPr>
              <w:t xml:space="preserve">- Запуск та конфігурування Системи розпізнавання обличь</w:t>
            </w:r>
            <w:r/>
          </w:p>
          <w:p>
            <w:pPr>
              <w:rPr>
                <w:rFonts w:ascii="Times New Roman" w:hAnsi="Times New Roman" w:cs="Times New Roman"/>
                <w:sz w:val="24"/>
                <w:szCs w:val="24"/>
              </w:rPr>
            </w:pPr>
            <w:r>
              <w:rPr>
                <w:rFonts w:ascii="Times New Roman" w:hAnsi="Times New Roman" w:cs="Times New Roman"/>
                <w:sz w:val="24"/>
                <w:szCs w:val="24"/>
              </w:rPr>
              <w:t xml:space="preserve">- Запуск та конфігурування Системи поведінкової аналітики</w:t>
            </w:r>
            <w:r/>
          </w:p>
          <w:p>
            <w:pPr>
              <w:rPr>
                <w:rFonts w:ascii="Times New Roman" w:hAnsi="Times New Roman" w:cs="Times New Roman"/>
                <w:sz w:val="24"/>
                <w:szCs w:val="24"/>
              </w:rPr>
            </w:pPr>
            <w:r>
              <w:rPr>
                <w:rFonts w:ascii="Times New Roman" w:hAnsi="Times New Roman" w:cs="Times New Roman"/>
                <w:sz w:val="24"/>
                <w:szCs w:val="24"/>
              </w:rPr>
              <w:t xml:space="preserve">- Запуск та конфігурування Системи аналітики розслідувань</w:t>
            </w:r>
            <w:r/>
          </w:p>
        </w:tc>
      </w:tr>
      <w:tr>
        <w:trPr/>
        <w:tc>
          <w:tcPr>
            <w:tcBorders>
              <w:top w:val="single" w:color="auto" w:sz="4" w:space="0"/>
              <w:left w:val="single" w:color="auto" w:sz="4" w:space="0"/>
              <w:bottom w:val="single" w:color="auto" w:sz="4" w:space="0"/>
              <w:right w:val="single" w:color="auto" w:sz="4" w:space="0"/>
            </w:tcBorders>
            <w:tcW w:w="66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auto" w:sz="4" w:space="0"/>
              <w:left w:val="single" w:color="auto" w:sz="4" w:space="0"/>
              <w:bottom w:val="single" w:color="auto" w:sz="4" w:space="0"/>
              <w:right w:val="single" w:color="auto" w:sz="4" w:space="0"/>
            </w:tcBorders>
            <w:tcW w:w="8403" w:type="dxa"/>
            <w:textDirection w:val="lrTb"/>
            <w:noWrap w:val="false"/>
          </w:tcPr>
          <w:p>
            <w:pPr>
              <w:rPr>
                <w:rFonts w:ascii="Times New Roman" w:hAnsi="Times New Roman" w:cs="Times New Roman"/>
                <w:b/>
                <w:sz w:val="24"/>
                <w:szCs w:val="24"/>
              </w:rPr>
            </w:pPr>
            <w:r/>
            <w:bookmarkStart w:id="35" w:name="_Hlk148621822"/>
            <w:r>
              <w:rPr>
                <w:rFonts w:ascii="Times New Roman" w:hAnsi="Times New Roman" w:cs="Times New Roman"/>
                <w:b/>
                <w:sz w:val="24"/>
                <w:szCs w:val="24"/>
              </w:rPr>
              <w:t xml:space="preserve">Додаткова розробка (в межах існуючого програмного забезпечення), згідно затвердженого ТЗ</w:t>
            </w:r>
            <w:bookmarkEnd w:id="35"/>
            <w:r>
              <w:rPr>
                <w:rFonts w:ascii="Times New Roman" w:hAnsi="Times New Roman" w:cs="Times New Roman"/>
                <w:b/>
                <w:sz w:val="24"/>
                <w:szCs w:val="24"/>
              </w:rPr>
              <w:t xml:space="preserve">:</w:t>
            </w:r>
            <w:r/>
          </w:p>
          <w:p>
            <w:pPr>
              <w:rPr>
                <w:rFonts w:ascii="Times New Roman" w:hAnsi="Times New Roman" w:cs="Times New Roman"/>
                <w:sz w:val="24"/>
                <w:szCs w:val="24"/>
              </w:rPr>
            </w:pPr>
            <w:r>
              <w:rPr>
                <w:rFonts w:ascii="Times New Roman" w:hAnsi="Times New Roman" w:cs="Times New Roman"/>
                <w:sz w:val="24"/>
                <w:szCs w:val="24"/>
              </w:rPr>
              <w:t xml:space="preserve">- наскрізна інтеграція аналітичних підсистем (розпізнавання обличь, поведінкової аналітики, аналітики розслідувань) із Системи керування інформацією та безпекою</w:t>
            </w:r>
            <w:r/>
          </w:p>
          <w:p>
            <w:pPr>
              <w:pStyle w:val="748"/>
              <w:rPr>
                <w:sz w:val="24"/>
                <w:szCs w:val="24"/>
              </w:rPr>
            </w:pPr>
            <w:r>
              <w:rPr>
                <w:sz w:val="24"/>
                <w:szCs w:val="24"/>
              </w:rPr>
            </w:r>
            <w:r/>
          </w:p>
        </w:tc>
      </w:tr>
      <w:tr>
        <w:trPr/>
        <w:tc>
          <w:tcPr>
            <w:tcBorders>
              <w:top w:val="single" w:color="auto" w:sz="4" w:space="0"/>
              <w:left w:val="single" w:color="auto" w:sz="4" w:space="0"/>
              <w:bottom w:val="single" w:color="auto" w:sz="4" w:space="0"/>
              <w:right w:val="single" w:color="auto" w:sz="4" w:space="0"/>
            </w:tcBorders>
            <w:tcW w:w="66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auto" w:sz="4" w:space="0"/>
              <w:left w:val="single" w:color="auto" w:sz="4" w:space="0"/>
              <w:bottom w:val="single" w:color="auto" w:sz="4" w:space="0"/>
              <w:right w:val="single" w:color="auto" w:sz="4" w:space="0"/>
            </w:tcBorders>
            <w:tcW w:w="8403"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Інтеграція з Програмно-апаратним комплексом Міської інтеграційної платформи</w:t>
            </w:r>
            <w:r/>
          </w:p>
          <w:p>
            <w:pPr>
              <w:rPr>
                <w:rFonts w:ascii="Times New Roman" w:hAnsi="Times New Roman" w:cs="Times New Roman"/>
                <w:sz w:val="24"/>
                <w:szCs w:val="24"/>
              </w:rPr>
            </w:pPr>
            <w:r>
              <w:rPr>
                <w:rFonts w:ascii="Times New Roman" w:hAnsi="Times New Roman" w:cs="Times New Roman"/>
                <w:sz w:val="24"/>
                <w:szCs w:val="24"/>
              </w:rPr>
              <w:t xml:space="preserve">- інтеграція має бути проведена на рівні двох ідентичних PSIM систем</w:t>
            </w:r>
            <w:r/>
          </w:p>
        </w:tc>
      </w:tr>
      <w:tr>
        <w:trPr/>
        <w:tc>
          <w:tcPr>
            <w:tcBorders>
              <w:top w:val="single" w:color="auto" w:sz="4" w:space="0"/>
              <w:left w:val="single" w:color="auto" w:sz="4" w:space="0"/>
              <w:bottom w:val="single" w:color="auto" w:sz="4" w:space="0"/>
              <w:right w:val="single" w:color="auto" w:sz="4" w:space="0"/>
            </w:tcBorders>
            <w:tcW w:w="669" w:type="dxa"/>
            <w:textDirection w:val="lrTb"/>
            <w:noWrap w:val="false"/>
          </w:tcPr>
          <w:p>
            <w:pPr>
              <w:jc w:val="center"/>
              <w:rPr>
                <w:rFonts w:ascii="Times New Roman" w:hAnsi="Times New Roman" w:cs="Times New Roman"/>
                <w:sz w:val="24"/>
                <w:szCs w:val="24"/>
                <w:lang w:val="ru-RU"/>
              </w:rPr>
            </w:pPr>
            <w:r>
              <w:rPr>
                <w:rFonts w:ascii="Times New Roman" w:hAnsi="Times New Roman" w:cs="Times New Roman"/>
                <w:sz w:val="24"/>
                <w:szCs w:val="24"/>
              </w:rPr>
              <w:t xml:space="preserve">5</w:t>
            </w:r>
            <w:r/>
          </w:p>
        </w:tc>
        <w:tc>
          <w:tcPr>
            <w:tcBorders>
              <w:top w:val="single" w:color="auto" w:sz="4" w:space="0"/>
              <w:left w:val="single" w:color="auto" w:sz="4" w:space="0"/>
              <w:bottom w:val="single" w:color="auto" w:sz="4" w:space="0"/>
              <w:right w:val="single" w:color="auto" w:sz="4" w:space="0"/>
            </w:tcBorders>
            <w:tcW w:w="8403"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Навчання співробітників Замовника:</w:t>
            </w:r>
            <w:r/>
          </w:p>
          <w:p>
            <w:pPr>
              <w:pStyle w:val="719"/>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Навчання 3 (трьох) операторів Замовника</w:t>
            </w:r>
            <w:r/>
          </w:p>
          <w:p>
            <w:pPr>
              <w:pStyle w:val="719"/>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Навчання 3 (трьох) виконавців Замовника</w:t>
            </w:r>
            <w:r/>
          </w:p>
        </w:tc>
      </w:tr>
      <w:tr>
        <w:trPr/>
        <w:tc>
          <w:tcPr>
            <w:tcBorders>
              <w:top w:val="single" w:color="auto" w:sz="4" w:space="0"/>
              <w:left w:val="single" w:color="auto" w:sz="4" w:space="0"/>
              <w:bottom w:val="single" w:color="auto" w:sz="4" w:space="0"/>
              <w:right w:val="single" w:color="auto" w:sz="4" w:space="0"/>
            </w:tcBorders>
            <w:tcW w:w="66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auto" w:sz="4" w:space="0"/>
              <w:left w:val="single" w:color="auto" w:sz="4" w:space="0"/>
              <w:bottom w:val="single" w:color="auto" w:sz="4" w:space="0"/>
              <w:right w:val="single" w:color="auto" w:sz="4" w:space="0"/>
            </w:tcBorders>
            <w:tcW w:w="8403"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Вирішення проблем (troubleshooting):</w:t>
            </w:r>
            <w:r/>
          </w:p>
          <w:p>
            <w:pPr>
              <w:rPr>
                <w:rFonts w:ascii="Times New Roman" w:hAnsi="Times New Roman" w:cs="Times New Roman"/>
                <w:sz w:val="24"/>
                <w:szCs w:val="24"/>
              </w:rPr>
            </w:pPr>
            <w:r>
              <w:rPr>
                <w:rFonts w:ascii="Times New Roman" w:hAnsi="Times New Roman" w:cs="Times New Roman"/>
                <w:sz w:val="24"/>
                <w:szCs w:val="24"/>
              </w:rPr>
              <w:t xml:space="preserve">- підключення сенсорів до ПАК «Безпечна країна»  </w:t>
            </w:r>
            <w:r/>
          </w:p>
          <w:p>
            <w:pPr>
              <w:rPr>
                <w:rFonts w:ascii="Times New Roman" w:hAnsi="Times New Roman" w:cs="Times New Roman"/>
                <w:sz w:val="24"/>
                <w:szCs w:val="24"/>
              </w:rPr>
            </w:pPr>
            <w:r>
              <w:rPr>
                <w:rFonts w:ascii="Times New Roman" w:hAnsi="Times New Roman" w:cs="Times New Roman"/>
                <w:sz w:val="24"/>
                <w:szCs w:val="24"/>
              </w:rPr>
              <w:t xml:space="preserve">- формування списків, правил, звітів (відповідно до вимог Замовника)</w:t>
            </w:r>
            <w:r/>
          </w:p>
          <w:p>
            <w:pPr>
              <w:rPr>
                <w:rFonts w:ascii="Times New Roman" w:hAnsi="Times New Roman" w:cs="Times New Roman"/>
                <w:sz w:val="24"/>
                <w:szCs w:val="24"/>
              </w:rPr>
            </w:pPr>
            <w:r>
              <w:rPr>
                <w:rFonts w:ascii="Times New Roman" w:hAnsi="Times New Roman" w:cs="Times New Roman"/>
                <w:sz w:val="24"/>
                <w:szCs w:val="24"/>
              </w:rPr>
              <w:t xml:space="preserve">- консультації співробітників Замовника, що пройшли навчання, щодо роботи ПАК «Безпечна країна» </w:t>
            </w:r>
            <w:r/>
          </w:p>
          <w:p>
            <w:pPr>
              <w:rPr>
                <w:rFonts w:ascii="Times New Roman" w:hAnsi="Times New Roman" w:cs="Times New Roman"/>
                <w:sz w:val="24"/>
                <w:szCs w:val="24"/>
              </w:rPr>
            </w:pPr>
            <w:r>
              <w:rPr>
                <w:rFonts w:ascii="Times New Roman" w:hAnsi="Times New Roman" w:cs="Times New Roman"/>
                <w:sz w:val="24"/>
                <w:szCs w:val="24"/>
              </w:rPr>
              <w:t xml:space="preserve">- Виправлення помилок, які будуть виникати в процесі першого етапу експлуатації ПАК «Безпечна країна»</w:t>
            </w:r>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результаті налаштування модулі та підсистеми повинні бути: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Функціонально достатніми (повними).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Надійними (автоматично зберігати всі дані та коректно завершувати роботу програм без втрати даних).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Придатними до модернізації та масштабування.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Захищеними від зовнішніх впливів.</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19"/>
        <w:ind w:left="0" w:right="1" w:firstLine="567"/>
        <w:jc w:val="both"/>
        <w:spacing w:after="0" w:line="240" w:lineRule="auto"/>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Учасники торгів повинні належним чином здійснювати діяльність щодо предмету закупівлі. У зв’язку з цим для належного захисту інтересів Замов</w:t>
      </w:r>
      <w:r>
        <w:rPr>
          <w:rFonts w:ascii="Times New Roman" w:hAnsi="Times New Roman" w:cs="Times New Roman"/>
          <w:sz w:val="24"/>
          <w:szCs w:val="24"/>
          <w:lang w:val="uk-UA"/>
        </w:rPr>
        <w:t xml:space="preserve">ника щодо авторизованого та кваліфікованого джерела  постачання Послуги за даними торгами учасники торгів повинні надати копію авторизаційного листа про повноваження від виробника або офіційного представництва  Системи керування інформацією та безпекою (Пр</w:t>
      </w:r>
      <w:r>
        <w:rPr>
          <w:rFonts w:ascii="Times New Roman" w:hAnsi="Times New Roman" w:cs="Times New Roman"/>
          <w:sz w:val="24"/>
          <w:szCs w:val="24"/>
          <w:lang w:val="uk-UA"/>
        </w:rPr>
        <w:t xml:space="preserve">ограмна продукція OCTOPUS SafeCountry) на території України, що підтверджує право учасника торгів на постачання послуг у відповідності до позицій предмету закупівлі та  укладання договір про їх постачання на території України із обов’язковим зазначенням на</w:t>
      </w:r>
      <w:r>
        <w:rPr>
          <w:rFonts w:ascii="Times New Roman" w:hAnsi="Times New Roman" w:cs="Times New Roman"/>
          <w:sz w:val="24"/>
          <w:szCs w:val="24"/>
          <w:lang w:val="uk-UA"/>
        </w:rPr>
        <w:t xml:space="preserve">йменування та номеру даних торгів, інформації щодо партнерських відносин між виробником обладнання та учасником закупівель. У разі надання авторизаційного листа від виробника іноземною мовою, цей лист повинен супроводжуватись перекладом на українську мову.</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якого визначено переможцем процедури закуп</w:t>
      </w:r>
      <w:r>
        <w:rPr>
          <w:rFonts w:ascii="Times New Roman" w:hAnsi="Times New Roman" w:cs="Times New Roman"/>
          <w:sz w:val="24"/>
          <w:szCs w:val="24"/>
        </w:rPr>
        <w:t xml:space="preserve">івлі, перед укладанням договору проводить експертизу та/або експертну оцінку та/або незалежну оцінку вартості послуг, за результатом аукціону, вказаних в Додатку 5 до тендерної документації та надає Замовнику документ, що підтверджує вартість вказаних посл</w:t>
      </w:r>
      <w:r>
        <w:rPr>
          <w:rFonts w:ascii="Times New Roman" w:hAnsi="Times New Roman" w:cs="Times New Roman"/>
          <w:sz w:val="24"/>
          <w:szCs w:val="24"/>
        </w:rPr>
        <w:t xml:space="preserve">уг.  У разі надання документу, де вартість послуг буде нижча ніж зазначив Учасник за результатом аукціону, Учасник-Переможець укладає разом із договором додаткову угоду на зменшення вартості послуг (надати у складі тендерної документації гарантійний лист).</w:t>
      </w:r>
      <w:r/>
    </w:p>
    <w:p>
      <w:pPr>
        <w:ind w:firstLine="357"/>
        <w:jc w:val="center"/>
        <w:spacing w:after="0" w:line="240" w:lineRule="auto"/>
        <w:rPr>
          <w:rFonts w:ascii="Times New Roman" w:hAnsi="Times New Roman" w:cs="Times New Roman"/>
          <w:b/>
          <w:color w:val="000000"/>
          <w:sz w:val="24"/>
          <w:szCs w:val="24"/>
        </w:rPr>
      </w:pPr>
      <w:r/>
      <w:bookmarkStart w:id="36" w:name="_Hlk133583335"/>
      <w:r/>
      <w:bookmarkEnd w:id="36"/>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7 209 366,50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сім мільйонів двісті дев’ять тисяч триста шістдесят шість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3"/>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4"/>
    <w:next w:val="714"/>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6"/>
    <w:link w:val="12"/>
    <w:uiPriority w:val="9"/>
    <w:rPr>
      <w:rFonts w:ascii="Arial" w:hAnsi="Arial" w:eastAsia="Arial" w:cs="Arial"/>
      <w:sz w:val="40"/>
      <w:szCs w:val="40"/>
    </w:rPr>
  </w:style>
  <w:style w:type="character" w:styleId="15">
    <w:name w:val="Heading 2 Char"/>
    <w:basedOn w:val="716"/>
    <w:link w:val="715"/>
    <w:uiPriority w:val="9"/>
    <w:rPr>
      <w:rFonts w:ascii="Arial" w:hAnsi="Arial" w:eastAsia="Arial" w:cs="Arial"/>
      <w:sz w:val="34"/>
    </w:rPr>
  </w:style>
  <w:style w:type="paragraph" w:styleId="16">
    <w:name w:val="Heading 3"/>
    <w:basedOn w:val="714"/>
    <w:next w:val="714"/>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16"/>
    <w:link w:val="16"/>
    <w:uiPriority w:val="9"/>
    <w:rPr>
      <w:rFonts w:ascii="Arial" w:hAnsi="Arial" w:eastAsia="Arial" w:cs="Arial"/>
      <w:sz w:val="30"/>
      <w:szCs w:val="30"/>
    </w:rPr>
  </w:style>
  <w:style w:type="paragraph" w:styleId="18">
    <w:name w:val="Heading 4"/>
    <w:basedOn w:val="714"/>
    <w:next w:val="71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16"/>
    <w:link w:val="18"/>
    <w:uiPriority w:val="9"/>
    <w:rPr>
      <w:rFonts w:ascii="Arial" w:hAnsi="Arial" w:eastAsia="Arial" w:cs="Arial"/>
      <w:b/>
      <w:bCs/>
      <w:sz w:val="26"/>
      <w:szCs w:val="26"/>
    </w:rPr>
  </w:style>
  <w:style w:type="paragraph" w:styleId="20">
    <w:name w:val="Heading 5"/>
    <w:basedOn w:val="714"/>
    <w:next w:val="71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6"/>
    <w:link w:val="20"/>
    <w:uiPriority w:val="9"/>
    <w:rPr>
      <w:rFonts w:ascii="Arial" w:hAnsi="Arial" w:eastAsia="Arial" w:cs="Arial"/>
      <w:b/>
      <w:bCs/>
      <w:sz w:val="24"/>
      <w:szCs w:val="24"/>
    </w:rPr>
  </w:style>
  <w:style w:type="paragraph" w:styleId="22">
    <w:name w:val="Heading 6"/>
    <w:basedOn w:val="714"/>
    <w:next w:val="71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6"/>
    <w:link w:val="22"/>
    <w:uiPriority w:val="9"/>
    <w:rPr>
      <w:rFonts w:ascii="Arial" w:hAnsi="Arial" w:eastAsia="Arial" w:cs="Arial"/>
      <w:b/>
      <w:bCs/>
      <w:sz w:val="22"/>
      <w:szCs w:val="22"/>
    </w:rPr>
  </w:style>
  <w:style w:type="paragraph" w:styleId="24">
    <w:name w:val="Heading 7"/>
    <w:basedOn w:val="714"/>
    <w:next w:val="71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6"/>
    <w:link w:val="24"/>
    <w:uiPriority w:val="9"/>
    <w:rPr>
      <w:rFonts w:ascii="Arial" w:hAnsi="Arial" w:eastAsia="Arial" w:cs="Arial"/>
      <w:b/>
      <w:bCs/>
      <w:i/>
      <w:iCs/>
      <w:sz w:val="22"/>
      <w:szCs w:val="22"/>
    </w:rPr>
  </w:style>
  <w:style w:type="paragraph" w:styleId="26">
    <w:name w:val="Heading 8"/>
    <w:basedOn w:val="714"/>
    <w:next w:val="71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6"/>
    <w:link w:val="26"/>
    <w:uiPriority w:val="9"/>
    <w:rPr>
      <w:rFonts w:ascii="Arial" w:hAnsi="Arial" w:eastAsia="Arial" w:cs="Arial"/>
      <w:i/>
      <w:iCs/>
      <w:sz w:val="22"/>
      <w:szCs w:val="22"/>
    </w:rPr>
  </w:style>
  <w:style w:type="paragraph" w:styleId="28">
    <w:name w:val="Heading 9"/>
    <w:basedOn w:val="714"/>
    <w:next w:val="71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6"/>
    <w:link w:val="28"/>
    <w:uiPriority w:val="9"/>
    <w:rPr>
      <w:rFonts w:ascii="Arial" w:hAnsi="Arial" w:eastAsia="Arial" w:cs="Arial"/>
      <w:i/>
      <w:iCs/>
      <w:sz w:val="21"/>
      <w:szCs w:val="21"/>
    </w:rPr>
  </w:style>
  <w:style w:type="paragraph" w:styleId="33">
    <w:name w:val="Title"/>
    <w:basedOn w:val="714"/>
    <w:next w:val="714"/>
    <w:link w:val="34"/>
    <w:uiPriority w:val="10"/>
    <w:qFormat/>
    <w:pPr>
      <w:contextualSpacing/>
      <w:spacing w:before="300" w:after="200"/>
    </w:pPr>
    <w:rPr>
      <w:sz w:val="48"/>
      <w:szCs w:val="48"/>
    </w:rPr>
  </w:style>
  <w:style w:type="character" w:styleId="34">
    <w:name w:val="Title Char"/>
    <w:basedOn w:val="716"/>
    <w:link w:val="33"/>
    <w:uiPriority w:val="10"/>
    <w:rPr>
      <w:sz w:val="48"/>
      <w:szCs w:val="48"/>
    </w:rPr>
  </w:style>
  <w:style w:type="paragraph" w:styleId="35">
    <w:name w:val="Subtitle"/>
    <w:basedOn w:val="714"/>
    <w:next w:val="714"/>
    <w:link w:val="36"/>
    <w:uiPriority w:val="11"/>
    <w:qFormat/>
    <w:pPr>
      <w:spacing w:before="200" w:after="200"/>
    </w:pPr>
    <w:rPr>
      <w:sz w:val="24"/>
      <w:szCs w:val="24"/>
    </w:rPr>
  </w:style>
  <w:style w:type="character" w:styleId="36">
    <w:name w:val="Subtitle Char"/>
    <w:basedOn w:val="716"/>
    <w:link w:val="35"/>
    <w:uiPriority w:val="11"/>
    <w:rPr>
      <w:sz w:val="24"/>
      <w:szCs w:val="24"/>
    </w:rPr>
  </w:style>
  <w:style w:type="paragraph" w:styleId="37">
    <w:name w:val="Quote"/>
    <w:basedOn w:val="714"/>
    <w:next w:val="714"/>
    <w:link w:val="38"/>
    <w:uiPriority w:val="29"/>
    <w:qFormat/>
    <w:pPr>
      <w:ind w:left="720" w:right="720"/>
    </w:pPr>
    <w:rPr>
      <w:i/>
    </w:rPr>
  </w:style>
  <w:style w:type="character" w:styleId="38">
    <w:name w:val="Quote Char"/>
    <w:link w:val="37"/>
    <w:uiPriority w:val="29"/>
    <w:rPr>
      <w:i/>
    </w:rPr>
  </w:style>
  <w:style w:type="paragraph" w:styleId="39">
    <w:name w:val="Intense Quote"/>
    <w:basedOn w:val="714"/>
    <w:next w:val="71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4"/>
    <w:link w:val="42"/>
    <w:uiPriority w:val="99"/>
    <w:unhideWhenUsed/>
    <w:pPr>
      <w:spacing w:after="0" w:line="240" w:lineRule="auto"/>
      <w:tabs>
        <w:tab w:val="center" w:pos="7143" w:leader="none"/>
        <w:tab w:val="right" w:pos="14287" w:leader="none"/>
      </w:tabs>
    </w:pPr>
  </w:style>
  <w:style w:type="character" w:styleId="42">
    <w:name w:val="Header Char"/>
    <w:basedOn w:val="716"/>
    <w:link w:val="41"/>
    <w:uiPriority w:val="99"/>
  </w:style>
  <w:style w:type="character" w:styleId="44">
    <w:name w:val="Footer Char"/>
    <w:basedOn w:val="716"/>
    <w:link w:val="725"/>
    <w:uiPriority w:val="99"/>
  </w:style>
  <w:style w:type="paragraph" w:styleId="45">
    <w:name w:val="Caption"/>
    <w:basedOn w:val="714"/>
    <w:next w:val="714"/>
    <w:uiPriority w:val="35"/>
    <w:semiHidden/>
    <w:unhideWhenUsed/>
    <w:qFormat/>
    <w:pPr>
      <w:spacing w:line="276" w:lineRule="auto"/>
    </w:pPr>
    <w:rPr>
      <w:b/>
      <w:bCs/>
      <w:color w:val="4f81bd" w:themeColor="accent1"/>
      <w:sz w:val="18"/>
      <w:szCs w:val="18"/>
    </w:rPr>
  </w:style>
  <w:style w:type="character" w:styleId="46">
    <w:name w:val="Caption Char"/>
    <w:basedOn w:val="45"/>
    <w:link w:val="725"/>
    <w:uiPriority w:val="99"/>
  </w:style>
  <w:style w:type="table" w:styleId="48">
    <w:name w:val="Table Grid Light"/>
    <w:basedOn w:val="7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1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1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1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1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1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1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1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1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1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1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1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1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1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1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1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1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1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1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1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1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1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1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1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1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1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1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1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1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1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1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1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1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1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1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1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1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1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1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1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1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1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1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1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1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1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1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1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1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1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1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1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1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1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1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1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1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1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1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1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1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1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1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1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1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1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1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1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1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1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1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1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1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1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1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1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1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1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1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1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1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1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1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1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1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1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1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1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1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1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1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1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1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1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1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6"/>
    <w:uiPriority w:val="99"/>
    <w:unhideWhenUsed/>
    <w:rPr>
      <w:vertAlign w:val="superscript"/>
    </w:rPr>
  </w:style>
  <w:style w:type="paragraph" w:styleId="177">
    <w:name w:val="endnote text"/>
    <w:basedOn w:val="71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6"/>
    <w:uiPriority w:val="99"/>
    <w:semiHidden/>
    <w:unhideWhenUsed/>
    <w:rPr>
      <w:vertAlign w:val="superscript"/>
    </w:rPr>
  </w:style>
  <w:style w:type="paragraph" w:styleId="180">
    <w:name w:val="toc 1"/>
    <w:basedOn w:val="714"/>
    <w:next w:val="714"/>
    <w:uiPriority w:val="39"/>
    <w:unhideWhenUsed/>
    <w:pPr>
      <w:ind w:left="0" w:right="0" w:firstLine="0"/>
      <w:spacing w:after="57"/>
    </w:pPr>
  </w:style>
  <w:style w:type="paragraph" w:styleId="181">
    <w:name w:val="toc 2"/>
    <w:basedOn w:val="714"/>
    <w:next w:val="714"/>
    <w:uiPriority w:val="39"/>
    <w:unhideWhenUsed/>
    <w:pPr>
      <w:ind w:left="283" w:right="0" w:firstLine="0"/>
      <w:spacing w:after="57"/>
    </w:pPr>
  </w:style>
  <w:style w:type="paragraph" w:styleId="182">
    <w:name w:val="toc 3"/>
    <w:basedOn w:val="714"/>
    <w:next w:val="714"/>
    <w:uiPriority w:val="39"/>
    <w:unhideWhenUsed/>
    <w:pPr>
      <w:ind w:left="567" w:right="0" w:firstLine="0"/>
      <w:spacing w:after="57"/>
    </w:pPr>
  </w:style>
  <w:style w:type="paragraph" w:styleId="183">
    <w:name w:val="toc 4"/>
    <w:basedOn w:val="714"/>
    <w:next w:val="714"/>
    <w:uiPriority w:val="39"/>
    <w:unhideWhenUsed/>
    <w:pPr>
      <w:ind w:left="850" w:right="0" w:firstLine="0"/>
      <w:spacing w:after="57"/>
    </w:pPr>
  </w:style>
  <w:style w:type="paragraph" w:styleId="184">
    <w:name w:val="toc 5"/>
    <w:basedOn w:val="714"/>
    <w:next w:val="714"/>
    <w:uiPriority w:val="39"/>
    <w:unhideWhenUsed/>
    <w:pPr>
      <w:ind w:left="1134" w:right="0" w:firstLine="0"/>
      <w:spacing w:after="57"/>
    </w:pPr>
  </w:style>
  <w:style w:type="paragraph" w:styleId="185">
    <w:name w:val="toc 6"/>
    <w:basedOn w:val="714"/>
    <w:next w:val="714"/>
    <w:uiPriority w:val="39"/>
    <w:unhideWhenUsed/>
    <w:pPr>
      <w:ind w:left="1417" w:right="0" w:firstLine="0"/>
      <w:spacing w:after="57"/>
    </w:pPr>
  </w:style>
  <w:style w:type="paragraph" w:styleId="186">
    <w:name w:val="toc 7"/>
    <w:basedOn w:val="714"/>
    <w:next w:val="714"/>
    <w:uiPriority w:val="39"/>
    <w:unhideWhenUsed/>
    <w:pPr>
      <w:ind w:left="1701" w:right="0" w:firstLine="0"/>
      <w:spacing w:after="57"/>
    </w:pPr>
  </w:style>
  <w:style w:type="paragraph" w:styleId="187">
    <w:name w:val="toc 8"/>
    <w:basedOn w:val="714"/>
    <w:next w:val="714"/>
    <w:uiPriority w:val="39"/>
    <w:unhideWhenUsed/>
    <w:pPr>
      <w:ind w:left="1984" w:right="0" w:firstLine="0"/>
      <w:spacing w:after="57"/>
    </w:pPr>
  </w:style>
  <w:style w:type="paragraph" w:styleId="188">
    <w:name w:val="toc 9"/>
    <w:basedOn w:val="714"/>
    <w:next w:val="714"/>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4"/>
    <w:next w:val="714"/>
    <w:uiPriority w:val="99"/>
    <w:unhideWhenUsed/>
    <w:pPr>
      <w:spacing w:after="0" w:afterAutospacing="0"/>
    </w:pPr>
  </w:style>
  <w:style w:type="paragraph" w:styleId="714" w:default="1">
    <w:name w:val="Normal"/>
    <w:qFormat/>
    <w:rPr>
      <w:lang w:val="uk-UA"/>
    </w:rPr>
  </w:style>
  <w:style w:type="paragraph" w:styleId="715">
    <w:name w:val="Heading 2"/>
    <w:basedOn w:val="714"/>
    <w:link w:val="73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16" w:default="1">
    <w:name w:val="Default Paragraph Font"/>
    <w:uiPriority w:val="1"/>
    <w:semiHidden/>
    <w:unhideWhenUsed/>
  </w:style>
  <w:style w:type="table" w:styleId="717" w:default="1">
    <w:name w:val="Normal Table"/>
    <w:uiPriority w:val="99"/>
    <w:semiHidden/>
    <w:unhideWhenUsed/>
    <w:tblPr>
      <w:tblInd w:w="0" w:type="dxa"/>
      <w:tblCellMar>
        <w:left w:w="108" w:type="dxa"/>
        <w:top w:w="0" w:type="dxa"/>
        <w:right w:w="108" w:type="dxa"/>
        <w:bottom w:w="0" w:type="dxa"/>
      </w:tblCellMar>
    </w:tblPr>
  </w:style>
  <w:style w:type="numbering" w:styleId="718" w:default="1">
    <w:name w:val="No List"/>
    <w:uiPriority w:val="99"/>
    <w:semiHidden/>
    <w:unhideWhenUsed/>
  </w:style>
  <w:style w:type="paragraph" w:styleId="719">
    <w:name w:val="List Paragraph"/>
    <w:basedOn w:val="714"/>
    <w:link w:val="720"/>
    <w:uiPriority w:val="34"/>
    <w:qFormat/>
    <w:pPr>
      <w:contextualSpacing/>
      <w:ind w:left="720"/>
      <w:spacing w:after="200" w:line="276" w:lineRule="auto"/>
    </w:pPr>
    <w:rPr>
      <w:rFonts w:ascii="Calibri" w:hAnsi="Calibri" w:eastAsia="Calibri" w:cs="Calibri"/>
      <w:lang w:val="ru-RU" w:eastAsia="zh-CN"/>
    </w:rPr>
  </w:style>
  <w:style w:type="character" w:styleId="720" w:customStyle="1">
    <w:name w:val="Абзац списку Знак"/>
    <w:link w:val="719"/>
    <w:uiPriority w:val="34"/>
    <w:qFormat/>
    <w:rPr>
      <w:rFonts w:ascii="Calibri" w:hAnsi="Calibri" w:eastAsia="Calibri" w:cs="Calibri"/>
      <w:lang w:eastAsia="zh-CN"/>
    </w:rPr>
  </w:style>
  <w:style w:type="table" w:styleId="721">
    <w:name w:val="Table Grid"/>
    <w:basedOn w:val="717"/>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2" w:customStyle="1">
    <w:name w:val="Сетка таблицы2"/>
    <w:basedOn w:val="717"/>
    <w:next w:val="72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3">
    <w:name w:val="Normal (Web)"/>
    <w:basedOn w:val="714"/>
    <w:link w:val="730"/>
    <w:uiPriority w:val="99"/>
    <w:unhideWhenUsed/>
    <w:qFormat/>
    <w:rPr>
      <w:rFonts w:ascii="Times New Roman" w:hAnsi="Times New Roman" w:cs="Times New Roman"/>
      <w:sz w:val="24"/>
      <w:szCs w:val="24"/>
    </w:rPr>
  </w:style>
  <w:style w:type="table" w:styleId="724" w:customStyle="1">
    <w:name w:val="Сетка таблицы1"/>
    <w:basedOn w:val="717"/>
    <w:next w:val="72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5">
    <w:name w:val="Footer"/>
    <w:basedOn w:val="714"/>
    <w:link w:val="72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26" w:customStyle="1">
    <w:name w:val="Нижній колонтитул Знак"/>
    <w:basedOn w:val="716"/>
    <w:link w:val="725"/>
    <w:uiPriority w:val="99"/>
    <w:rPr>
      <w:rFonts w:ascii="Calibri" w:hAnsi="Calibri" w:eastAsia="Calibri" w:cs="Calibri"/>
      <w:lang w:eastAsia="zh-CN"/>
    </w:rPr>
  </w:style>
  <w:style w:type="paragraph" w:styleId="72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28">
    <w:name w:val="Hyperlink"/>
    <w:basedOn w:val="716"/>
    <w:uiPriority w:val="99"/>
    <w:unhideWhenUsed/>
    <w:rPr>
      <w:color w:val="0563c1" w:themeColor="hyperlink"/>
      <w:u w:val="single"/>
    </w:rPr>
  </w:style>
  <w:style w:type="character" w:styleId="729" w:customStyle="1">
    <w:name w:val="xfm_93972720"/>
    <w:basedOn w:val="716"/>
  </w:style>
  <w:style w:type="character" w:styleId="730" w:customStyle="1">
    <w:name w:val="Звичайний (веб) Знак"/>
    <w:link w:val="723"/>
    <w:uiPriority w:val="99"/>
    <w:qFormat/>
    <w:rPr>
      <w:rFonts w:ascii="Times New Roman" w:hAnsi="Times New Roman" w:cs="Times New Roman"/>
      <w:sz w:val="24"/>
      <w:szCs w:val="24"/>
      <w:lang w:val="uk-UA"/>
    </w:rPr>
  </w:style>
  <w:style w:type="paragraph" w:styleId="731">
    <w:name w:val="Body Text 2"/>
    <w:basedOn w:val="714"/>
    <w:link w:val="732"/>
    <w:pPr>
      <w:spacing w:after="0" w:line="240" w:lineRule="auto"/>
    </w:pPr>
    <w:rPr>
      <w:rFonts w:ascii="Times New Roman" w:hAnsi="Times New Roman" w:eastAsia="Times New Roman" w:cs="Times New Roman"/>
      <w:sz w:val="28"/>
      <w:szCs w:val="20"/>
      <w:lang w:val="ru-RU" w:eastAsia="ru-RU"/>
    </w:rPr>
  </w:style>
  <w:style w:type="character" w:styleId="732" w:customStyle="1">
    <w:name w:val="Основний текст 2 Знак"/>
    <w:basedOn w:val="716"/>
    <w:link w:val="731"/>
    <w:rPr>
      <w:rFonts w:ascii="Times New Roman" w:hAnsi="Times New Roman" w:eastAsia="Times New Roman" w:cs="Times New Roman"/>
      <w:sz w:val="28"/>
      <w:szCs w:val="20"/>
      <w:lang w:eastAsia="ru-RU"/>
    </w:rPr>
  </w:style>
  <w:style w:type="paragraph" w:styleId="733"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34" w:customStyle="1">
    <w:name w:val="Заголовок 2 Знак"/>
    <w:basedOn w:val="716"/>
    <w:link w:val="715"/>
    <w:uiPriority w:val="9"/>
    <w:rPr>
      <w:rFonts w:ascii="Times New Roman" w:hAnsi="Times New Roman" w:eastAsia="Times New Roman" w:cs="Times New Roman"/>
      <w:b/>
      <w:bCs/>
      <w:sz w:val="36"/>
      <w:szCs w:val="36"/>
      <w:lang w:val="uk-UA" w:eastAsia="uk-UA"/>
    </w:rPr>
  </w:style>
  <w:style w:type="paragraph" w:styleId="735">
    <w:name w:val="No Spacing"/>
    <w:link w:val="736"/>
    <w:uiPriority w:val="1"/>
    <w:qFormat/>
    <w:pPr>
      <w:spacing w:after="0" w:line="240" w:lineRule="auto"/>
    </w:pPr>
    <w:rPr>
      <w:rFonts w:ascii="Calibri" w:hAnsi="Calibri" w:eastAsia="Calibri" w:cs="Times New Roman"/>
      <w:lang w:val="uk-UA"/>
    </w:rPr>
  </w:style>
  <w:style w:type="character" w:styleId="736" w:customStyle="1">
    <w:name w:val="Без інтервалів Знак"/>
    <w:basedOn w:val="716"/>
    <w:link w:val="735"/>
    <w:uiPriority w:val="1"/>
    <w:rPr>
      <w:rFonts w:ascii="Calibri" w:hAnsi="Calibri" w:eastAsia="Calibri" w:cs="Times New Roman"/>
      <w:lang w:val="uk-UA"/>
    </w:rPr>
  </w:style>
  <w:style w:type="character" w:styleId="737" w:customStyle="1">
    <w:name w:val="Другое_"/>
    <w:basedOn w:val="716"/>
    <w:link w:val="738"/>
    <w:rPr>
      <w:rFonts w:ascii="Calibri" w:hAnsi="Calibri" w:eastAsia="Calibri" w:cs="Calibri"/>
      <w:sz w:val="20"/>
      <w:szCs w:val="20"/>
    </w:rPr>
  </w:style>
  <w:style w:type="paragraph" w:styleId="738" w:customStyle="1">
    <w:name w:val="Другое"/>
    <w:basedOn w:val="714"/>
    <w:link w:val="737"/>
    <w:qFormat/>
    <w:pPr>
      <w:spacing w:after="0" w:line="240" w:lineRule="auto"/>
      <w:widowControl w:val="off"/>
    </w:pPr>
    <w:rPr>
      <w:rFonts w:ascii="Calibri" w:hAnsi="Calibri" w:eastAsia="Calibri" w:cs="Calibri"/>
      <w:sz w:val="20"/>
      <w:szCs w:val="20"/>
      <w:lang w:val="ru-RU"/>
    </w:rPr>
  </w:style>
  <w:style w:type="paragraph" w:styleId="73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0" w:customStyle="1">
    <w:name w:val="Основной текст (2)_"/>
    <w:basedOn w:val="716"/>
    <w:link w:val="741"/>
    <w:rPr>
      <w:rFonts w:eastAsia="Times New Roman" w:cs="Times New Roman"/>
      <w:shd w:val="clear" w:color="auto" w:fill="ffffff"/>
    </w:rPr>
  </w:style>
  <w:style w:type="paragraph" w:styleId="741" w:customStyle="1">
    <w:name w:val="Основной текст (2)"/>
    <w:basedOn w:val="714"/>
    <w:link w:val="740"/>
    <w:pPr>
      <w:ind w:hanging="700"/>
      <w:jc w:val="both"/>
      <w:spacing w:before="240" w:after="480" w:line="0" w:lineRule="atLeast"/>
      <w:shd w:val="clear" w:color="auto" w:fill="ffffff"/>
      <w:widowControl w:val="off"/>
    </w:pPr>
    <w:rPr>
      <w:rFonts w:eastAsia="Times New Roman" w:cs="Times New Roman"/>
      <w:lang w:val="ru-RU"/>
    </w:rPr>
  </w:style>
  <w:style w:type="character" w:styleId="742" w:customStyle="1">
    <w:name w:val="Текст у виносці Знак"/>
    <w:basedOn w:val="716"/>
    <w:link w:val="743"/>
    <w:uiPriority w:val="99"/>
    <w:semiHidden/>
    <w:rPr>
      <w:rFonts w:ascii="Segoe UI" w:hAnsi="Segoe UI" w:eastAsia="Times New Roman" w:cs="Segoe UI"/>
      <w:sz w:val="18"/>
      <w:szCs w:val="18"/>
      <w:lang w:eastAsia="ru-RU"/>
    </w:rPr>
  </w:style>
  <w:style w:type="paragraph" w:styleId="743">
    <w:name w:val="Balloon Text"/>
    <w:basedOn w:val="714"/>
    <w:link w:val="742"/>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44" w:customStyle="1">
    <w:name w:val="Текст у виносці Знак1"/>
    <w:basedOn w:val="716"/>
    <w:uiPriority w:val="99"/>
    <w:semiHidden/>
    <w:rPr>
      <w:rFonts w:ascii="Segoe UI" w:hAnsi="Segoe UI" w:cs="Segoe UI"/>
      <w:sz w:val="18"/>
      <w:szCs w:val="18"/>
      <w:lang w:val="uk-UA"/>
    </w:rPr>
  </w:style>
  <w:style w:type="character" w:styleId="745" w:customStyle="1">
    <w:name w:val="T23"/>
    <w:rPr>
      <w:rFonts w:hint="default" w:ascii="Times New Roman" w:hAnsi="Times New Roman" w:eastAsia="Times New Roman1" w:cs="Times New Roman"/>
    </w:rPr>
  </w:style>
  <w:style w:type="paragraph" w:styleId="746" w:customStyle="1">
    <w:name w:val="Абзац списку1"/>
    <w:basedOn w:val="714"/>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47" w:customStyle="1">
    <w:name w:val="markedcontent"/>
    <w:basedOn w:val="716"/>
  </w:style>
  <w:style w:type="paragraph" w:styleId="748">
    <w:name w:val="annotation text"/>
    <w:basedOn w:val="714"/>
    <w:link w:val="749"/>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9" w:customStyle="1">
    <w:name w:val="Текст примітки Знак"/>
    <w:basedOn w:val="716"/>
    <w:link w:val="748"/>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 Id="rId12" Type="http://schemas.openxmlformats.org/officeDocument/2006/relationships/hyperlink" Target="https://www.dzo.com.ua/tenders/1722718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145</cp:revision>
  <dcterms:created xsi:type="dcterms:W3CDTF">2022-11-01T12:47:00Z</dcterms:created>
  <dcterms:modified xsi:type="dcterms:W3CDTF">2023-11-17T14:58:17Z</dcterms:modified>
</cp:coreProperties>
</file>