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кухонного приладдя, товари для дому та господарства і приладдя для закладів громадського харчування (лотова закупівля: Лот 1: Відро дл</w:t>
      </w:r>
      <w:r>
        <w:rPr>
          <w:b w:val="0"/>
          <w:bCs w:val="0"/>
          <w:sz w:val="24"/>
          <w:szCs w:val="24"/>
        </w:rPr>
        <w:t xml:space="preserve">я сміття з педаллю, Лот 2: Кошик для паперу, Лот 3: Відро для використаних рушників, Лот 4: Контейнер для сміття з рухомою кришкою) за ДК 021:2015: 39220000-0 Кухонне приладдя, товари для дому та господарства і приладдя для закладів громадського харчування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013255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кухонного</w:t>
      </w:r>
      <w:r>
        <w:rPr>
          <w:rFonts w:ascii="Times New Roman" w:hAnsi="Times New Roman" w:cs="Times New Roman"/>
          <w:sz w:val="24"/>
          <w:szCs w:val="24"/>
        </w:rPr>
        <w:t xml:space="preserve"> приладдя, товари для дому та господарства і приладдя для закладів громадського харчування (лотова закупівля: Лот 1: Відро для сміття з педаллю, Лот 2: Кошик для паперу, Лот 3: Відро для використаних рушників, Лот 4: Контейнер для сміття з рухомою кришкою)</w:t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 (до всіх ЛОТІВ)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918"/>
        <w:gridCol w:w="5429"/>
        <w:gridCol w:w="1639"/>
        <w:gridCol w:w="16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ЛОТУ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Лот 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Відро для сміття з педаллю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Лот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Кошик для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40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Лот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Відро для використаних рушників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Лот 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Контейнер для сміття з рухомою кришкою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20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b/>
          <w:bCs/>
          <w:i/>
          <w:iCs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b/>
          <w:bCs/>
          <w:i/>
          <w:iCs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"/>
        <w:gridCol w:w="3000"/>
        <w:gridCol w:w="3396"/>
        <w:gridCol w:w="311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/>
            <w:bookmarkStart w:id="3" w:name="_Hlk13416792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1: Відро для сміття з педаллю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Технічні і якісні характеристики: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виготовлене із металу з порошковим покриттям не 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оснащене технологією Silent Close або аналогічною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пряма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ззаду ручка для перенесення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колір – сірий (матовий)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об’єм – 12 л не 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матеріал –метал з кольоровим покриттям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розмір: висота – 40 см., ширина – 23,5 см., довжина – 27 см. (розміри можуть коливатися у межах 4 см)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Пріоритет: Відро для сміття з педаллю Kela Davino (Германія).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2: Кошик для паперів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Технічні і якісні характеристики: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форма конусна;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матеріал метал;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колір сірий або чорний;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розмір – висота 30 см., ширина 22 см., довжина 22 см. (розміри можуть коливатися у межах 4 см)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both"/>
              <w:tabs>
                <w:tab w:val="left" w:pos="511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3: Відро для використаних рушників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Технічні і якісні характеристики: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матеріал – ударостійкий пластик АВС не 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об’єм – 25 л; не 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висота – 55 см;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довжина – 23 см;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ширина – 33 см;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колір – білий;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- тип встановлення – на стіну, на підлогу (відповідно до потреб замовника)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Пріоритет: Відро для використаних рушників KATRIN, виробник Metsa Tissue</w:t>
            </w:r>
            <w:r/>
          </w:p>
          <w:p>
            <w:pPr>
              <w:jc w:val="both"/>
              <w:tabs>
                <w:tab w:val="left" w:pos="511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(розміри можуть коливатися у межах 5 см)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4: Контейнер для сміття з рухомою кришкою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Технічні і якісні характеристики: (не гірше)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матеріал – якісний сополімер поліпропілен, що забезпечує ударостійкість;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асиметричне розташування рухомої кришки;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об’єм – 12 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колір – білий;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висота – 40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довжина – 20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ширина – 25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вага – 0,59 кг; не 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Пріоритет: Контейнер для сміття з рухомою кришкою Filmop серії Patty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(розміри можуть коливатися у межах 5 см)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</w:t>
            </w:r>
            <w:bookmarkEnd w:id="3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89 370,33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вісімдесят дев’ять тисяч триста сімдесят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89</cp:revision>
  <dcterms:created xsi:type="dcterms:W3CDTF">2022-11-01T12:47:00Z</dcterms:created>
  <dcterms:modified xsi:type="dcterms:W3CDTF">2023-05-30T10:50:50Z</dcterms:modified>
</cp:coreProperties>
</file>