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програмного забезпечення для взаємодії між абонентом через SMS повідомлення та </w:t>
      </w:r>
      <w:r>
        <w:rPr>
          <w:b w:val="0"/>
          <w:bCs w:val="0"/>
          <w:sz w:val="24"/>
          <w:szCs w:val="24"/>
        </w:rPr>
        <w:t xml:space="preserve">відеодзвінків</w:t>
      </w:r>
      <w:r>
        <w:rPr>
          <w:b w:val="0"/>
          <w:bCs w:val="0"/>
          <w:sz w:val="24"/>
          <w:szCs w:val="24"/>
        </w:rPr>
        <w:t xml:space="preserve"> та оператором 112 за кодом CPV за ДК 021:2015: 48510000-6 Пакети комунікаційного програмного забезпечення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016098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програмного забезпечення для взаємодії між абонентом через SMS повідомлення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відеодзвінків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оператором 112 за кодом CPV за ДК 021:2015: 48510000-6 Пакети комунікаційного програмного забезпечення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 програмного забезпечення для взаємодії між абонентом через SMS повідомлення 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відеодзвінків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 оператором 112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кодом CPV за ДК 021:2015: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48510000-6 Пакети комунікаційного програмного забезпечення</w:t>
      </w:r>
      <w:r/>
    </w:p>
    <w:tbl>
      <w:tblPr>
        <w:tblW w:w="9942" w:type="dxa"/>
        <w:tblInd w:w="-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5"/>
        <w:gridCol w:w="7137"/>
      </w:tblGrid>
      <w:tr>
        <w:trPr>
          <w:trHeight w:val="480"/>
        </w:trPr>
        <w:tc>
          <w:tcPr>
            <w:tcW w:w="28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713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Вимоги</w:t>
            </w:r>
            <w:r/>
          </w:p>
        </w:tc>
      </w:tr>
      <w:tr>
        <w:trPr>
          <w:trHeight w:val="960"/>
        </w:trPr>
        <w:tc>
          <w:tcPr>
            <w:tcW w:w="2805" w:type="dxa"/>
            <w:textDirection w:val="lrTb"/>
            <w:noWrap w:val="false"/>
          </w:tcPr>
          <w:p>
            <w:pPr>
              <w:ind w:left="34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Функціональне призначення</w:t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текстовою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комунікацією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абонентом,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використовує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мобільний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пристрій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інтернет-сторінку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однієї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оператором (агентом) контакт-центру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інтегрує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обслуговування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повідомлень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відеодзвінків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інтерфейсом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контакт-центру,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забезпечуючи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фіксацію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історії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взаємодії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абонента та агента.</w:t>
            </w:r>
            <w:r/>
          </w:p>
        </w:tc>
      </w:tr>
      <w:tr>
        <w:trPr>
          <w:trHeight w:val="625"/>
        </w:trPr>
        <w:tc>
          <w:tcPr>
            <w:tcW w:w="280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Фізичні характеристики</w:t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інтеграцією</w:t>
            </w:r>
            <w:r/>
          </w:p>
        </w:tc>
      </w:tr>
      <w:tr>
        <w:trPr>
          <w:trHeight w:val="960"/>
        </w:trPr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Функції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_Hlk12900648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повинно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(агентам) контакт-центру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відправляти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обробляти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сервісів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швидкого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обміну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(SMS)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своєму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звичайному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робочому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середовищі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перемикання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систем, а абонентам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зв'язатися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оператором через 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подальшому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відеодзвінок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відеодзвінки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прийматися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агентом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контакт-центру,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збереженням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налаштованої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звернень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потрібним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дзвінка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повинно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передачу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єдиної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у контакт-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повинно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(одноразового)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відеодзвінок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абонентові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текстовому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(SMS);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Відеозвінки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записуватися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зберігатися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ними.</w:t>
            </w:r>
            <w:bookmarkEnd w:id="1"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4"/>
        </w:trPr>
        <w:tc>
          <w:tcPr>
            <w:tcW w:w="2805" w:type="dxa"/>
            <w:textDirection w:val="lrTb"/>
            <w:noWrap w:val="false"/>
          </w:tcPr>
          <w:p>
            <w:pPr>
              <w:ind w:left="34"/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Ключові параметри</w:t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Забезпечення текстової та відео комунікації в єдиному вікні – інтерфейсі оператора контакт-центру.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ключовими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для забезпечення передачі та отримання SMS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Київстар,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SDK для інтеграції в IOS,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Android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браузер.</w:t>
            </w:r>
            <w:r/>
          </w:p>
          <w:p>
            <w:pPr>
              <w:ind w:left="360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Перегляд та зберігання історії комунікації з абонентом: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прав та ролей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критеріями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(оператора контакт-центру, номера телефону абонента,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міткам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часу, фрагментам тексту,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коментарів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перегляду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датою;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для 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коментарів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підключення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ind w:left="360"/>
              <w:jc w:val="bot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Адміністрування: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редагування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деактивація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облікових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Розподіл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дерево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Гнучке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ролей;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через роль;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Active Directory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третіми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REST API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окремій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Підпорядкованість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ролей.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облікових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шаблонами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абонента;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клієнтів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спаму;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датою;</w:t>
            </w:r>
            <w:r/>
          </w:p>
        </w:tc>
      </w:tr>
      <w:tr>
        <w:trPr>
          <w:trHeight w:val="960"/>
        </w:trPr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Безпека та масштабування</w:t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заблокувати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абонентом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Мікросервісна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відмовостійкість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інфраструктурі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on-premise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лога).</w:t>
            </w:r>
            <w:r/>
          </w:p>
        </w:tc>
      </w:tr>
      <w:tr>
        <w:trPr>
          <w:trHeight w:val="960"/>
        </w:trPr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Кількісні характеристики</w:t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повинно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запевнити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вищеописаного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відмовостійкому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одночасно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працюючих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разом</w:t>
            </w:r>
            <w:r/>
          </w:p>
        </w:tc>
      </w:tr>
      <w:tr>
        <w:trPr>
          <w:trHeight w:val="960"/>
        </w:trPr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Технічна підтримка</w:t>
            </w:r>
            <w:r/>
          </w:p>
        </w:tc>
        <w:tc>
          <w:tcPr>
            <w:tcW w:w="7137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2"/>
              </w:num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виробника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період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еквівалент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рік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1 025 000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п’ять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576"/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6"/>
  </w:num>
  <w:num w:numId="3">
    <w:abstractNumId w:val="6"/>
  </w:num>
  <w:num w:numId="4">
    <w:abstractNumId w:val="22"/>
  </w:num>
  <w:num w:numId="5">
    <w:abstractNumId w:val="5"/>
  </w:num>
  <w:num w:numId="6">
    <w:abstractNumId w:val="28"/>
  </w:num>
  <w:num w:numId="7">
    <w:abstractNumId w:val="9"/>
  </w:num>
  <w:num w:numId="8">
    <w:abstractNumId w:val="30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0"/>
  </w:num>
  <w:num w:numId="18">
    <w:abstractNumId w:val="31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17"/>
  </w:num>
  <w:num w:numId="26">
    <w:abstractNumId w:val="20"/>
  </w:num>
  <w:num w:numId="27">
    <w:abstractNumId w:val="25"/>
  </w:num>
  <w:num w:numId="28">
    <w:abstractNumId w:val="18"/>
  </w:num>
  <w:num w:numId="29">
    <w:abstractNumId w:val="26"/>
  </w:num>
  <w:num w:numId="30">
    <w:abstractNumId w:val="15"/>
  </w:num>
  <w:num w:numId="31">
    <w:abstractNumId w:val="2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2023-12-05T11:04:06Z</dcterms:modified>
</cp:coreProperties>
</file>