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0"/>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bookmarkStart w:id="0" w:name="_Hlk139615905"/>
      <w:r>
        <w:rPr>
          <w:b w:val="0"/>
          <w:bCs w:val="0"/>
          <w:sz w:val="24"/>
          <w:szCs w:val="24"/>
        </w:rPr>
        <w:t xml:space="preserve">Закупівля офісної металевої шафи (архівна) із замком за ДК 021:2015: 44420000-0 </w:t>
      </w:r>
      <w:bookmarkEnd w:id="0"/>
      <w:r>
        <w:rPr>
          <w:b w:val="0"/>
          <w:bCs w:val="0"/>
          <w:sz w:val="24"/>
          <w:szCs w:val="24"/>
        </w:rPr>
        <w:t xml:space="preserve">Будівельні товари</w:t>
      </w:r>
      <w:r>
        <w:rPr>
          <w:b w:val="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2</w:t>
      </w:r>
      <w:r>
        <w:rPr>
          <w:rFonts w:ascii="Times New Roman" w:hAnsi="Times New Roman" w:cs="Times New Roman"/>
          <w:sz w:val="24"/>
          <w:szCs w:val="24"/>
        </w:rPr>
        <w:t xml:space="preserve">-</w:t>
      </w:r>
      <w:r>
        <w:rPr>
          <w:rFonts w:ascii="Times New Roman" w:hAnsi="Times New Roman" w:cs="Times New Roman"/>
          <w:sz w:val="24"/>
          <w:szCs w:val="24"/>
        </w:rPr>
        <w:t xml:space="preserve">26</w:t>
      </w:r>
      <w:r>
        <w:rPr>
          <w:rFonts w:ascii="Times New Roman" w:hAnsi="Times New Roman" w:cs="Times New Roman"/>
          <w:sz w:val="24"/>
          <w:szCs w:val="24"/>
        </w:rPr>
        <w:t xml:space="preserve">-</w:t>
      </w:r>
      <w:r>
        <w:rPr>
          <w:rFonts w:ascii="Times New Roman" w:hAnsi="Times New Roman" w:cs="Times New Roman"/>
          <w:sz w:val="24"/>
          <w:szCs w:val="24"/>
        </w:rPr>
        <w:t xml:space="preserve">001708</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sz w:val="24"/>
          <w:szCs w:val="24"/>
        </w:rPr>
        <w:t xml:space="preserve">Закупівля офісної металевої шафи (архівна) із замком за ДК 021:2015: 44420000-0 Будівельні товари</w:t>
      </w:r>
      <w:r>
        <w:rPr>
          <w:rFonts w:ascii="Times New Roman" w:hAnsi="Times New Roman" w:cs="Times New Roman"/>
          <w:bCs/>
          <w:sz w:val="24"/>
          <w:szCs w:val="24"/>
        </w:rPr>
        <w:t xml:space="preserve">.</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728"/>
        <w:tblW w:w="9634" w:type="dxa"/>
        <w:tblLook w:val="04A0" w:firstRow="1" w:lastRow="0" w:firstColumn="1" w:lastColumn="0" w:noHBand="0" w:noVBand="1"/>
      </w:tblPr>
      <w:tblGrid>
        <w:gridCol w:w="562"/>
        <w:gridCol w:w="5670"/>
        <w:gridCol w:w="1701"/>
        <w:gridCol w:w="1701"/>
      </w:tblGrid>
      <w:tr>
        <w:trPr/>
        <w:tc>
          <w:tcPr>
            <w:tcBorders>
              <w:top w:val="single" w:color="auto" w:sz="4" w:space="0"/>
              <w:left w:val="single" w:color="auto" w:sz="4" w:space="0"/>
              <w:bottom w:val="single" w:color="auto" w:sz="4" w:space="0"/>
              <w:right w:val="single" w:color="auto" w:sz="4" w:space="0"/>
            </w:tcBorders>
            <w:tcW w:w="562" w:type="dxa"/>
            <w:textDirection w:val="lrTb"/>
            <w:noWrap w:val="false"/>
          </w:tcPr>
          <w:p>
            <w:pPr>
              <w:pStyle w:val="730"/>
              <w:jc w:val="center"/>
              <w:rPr>
                <w:b/>
                <w:bCs/>
                <w:lang w:val="ru-RU"/>
              </w:rPr>
            </w:pPr>
            <w:r>
              <w:rPr>
                <w:b/>
                <w:bCs/>
                <w:lang w:val="ru-RU"/>
              </w:rPr>
              <w:t xml:space="preserve">№ п/п</w:t>
            </w:r>
            <w:r/>
          </w:p>
        </w:tc>
        <w:tc>
          <w:tcPr>
            <w:tcBorders>
              <w:top w:val="single" w:color="auto" w:sz="4" w:space="0"/>
              <w:left w:val="single" w:color="auto" w:sz="4" w:space="0"/>
              <w:bottom w:val="single" w:color="auto" w:sz="4" w:space="0"/>
              <w:right w:val="single" w:color="auto" w:sz="4" w:space="0"/>
            </w:tcBorders>
            <w:tcW w:w="5670" w:type="dxa"/>
            <w:textDirection w:val="lrTb"/>
            <w:noWrap w:val="false"/>
          </w:tcPr>
          <w:p>
            <w:pPr>
              <w:pStyle w:val="730"/>
              <w:jc w:val="center"/>
              <w:rPr>
                <w:b/>
                <w:bCs/>
                <w:lang w:val="ru-RU"/>
              </w:rPr>
            </w:pPr>
            <w:r>
              <w:rPr>
                <w:b/>
                <w:bCs/>
                <w:lang w:val="ru-RU"/>
              </w:rPr>
              <w:t xml:space="preserve">Назва</w:t>
            </w:r>
            <w:r>
              <w:rPr>
                <w:b/>
                <w:bCs/>
                <w:lang w:val="ru-RU"/>
              </w:rPr>
              <w:t xml:space="preserve"> </w:t>
            </w:r>
            <w:r>
              <w:rPr>
                <w:b/>
                <w:bCs/>
                <w:lang w:val="ru-RU"/>
              </w:rPr>
              <w:t xml:space="preserve">системи</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730"/>
              <w:jc w:val="center"/>
              <w:rPr>
                <w:b/>
                <w:bCs/>
                <w:lang w:val="ru-RU"/>
              </w:rPr>
            </w:pPr>
            <w:r>
              <w:rPr>
                <w:b/>
                <w:bCs/>
                <w:lang w:val="ru-RU"/>
              </w:rPr>
              <w:t xml:space="preserve">Одиниця</w:t>
            </w:r>
            <w:r>
              <w:rPr>
                <w:b/>
                <w:bCs/>
                <w:lang w:val="ru-RU"/>
              </w:rPr>
              <w:t xml:space="preserve"> </w:t>
            </w:r>
            <w:r>
              <w:rPr>
                <w:b/>
                <w:bCs/>
                <w:lang w:val="ru-RU"/>
              </w:rPr>
              <w:t xml:space="preserve">виміру</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730"/>
              <w:jc w:val="center"/>
              <w:rPr>
                <w:b/>
                <w:bCs/>
                <w:lang w:val="ru-RU"/>
              </w:rPr>
            </w:pPr>
            <w:r>
              <w:rPr>
                <w:b/>
                <w:bCs/>
                <w:lang w:val="ru-RU"/>
              </w:rPr>
              <w:t xml:space="preserve">Кількість</w:t>
            </w:r>
            <w:r/>
          </w:p>
        </w:tc>
      </w:tr>
      <w:tr>
        <w:trPr/>
        <w:tc>
          <w:tcPr>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30"/>
              <w:jc w:val="center"/>
              <w:rPr>
                <w:lang w:val="ru-RU"/>
              </w:rPr>
            </w:pPr>
            <w:r>
              <w:rPr>
                <w:b/>
                <w:bCs/>
                <w:lang w:val="ru-RU"/>
              </w:rPr>
              <w:t xml:space="preserve">1</w:t>
            </w:r>
            <w:r/>
          </w:p>
        </w:tc>
        <w:tc>
          <w:tcPr>
            <w:tcBorders>
              <w:top w:val="single" w:color="auto" w:sz="4" w:space="0"/>
              <w:left w:val="single" w:color="auto" w:sz="4" w:space="0"/>
              <w:bottom w:val="single" w:color="auto" w:sz="4" w:space="0"/>
              <w:right w:val="single" w:color="auto" w:sz="4" w:space="0"/>
            </w:tcBorders>
            <w:tcW w:w="5670" w:type="dxa"/>
            <w:textDirection w:val="lrTb"/>
            <w:noWrap w:val="false"/>
          </w:tcPr>
          <w:p>
            <w:pPr>
              <w:pStyle w:val="730"/>
              <w:rPr>
                <w:b/>
                <w:bCs/>
                <w:lang w:val="ru-RU"/>
              </w:rPr>
            </w:pPr>
            <w:r>
              <w:rPr>
                <w:rFonts w:eastAsia="Calibri"/>
                <w:b/>
                <w:bCs/>
                <w:lang w:val="ru-RU"/>
              </w:rPr>
              <w:t xml:space="preserve">Офісна</w:t>
            </w:r>
            <w:r>
              <w:rPr>
                <w:rFonts w:eastAsia="Calibri"/>
                <w:b/>
                <w:bCs/>
                <w:lang w:val="ru-RU"/>
              </w:rPr>
              <w:t xml:space="preserve"> </w:t>
            </w:r>
            <w:r>
              <w:rPr>
                <w:rFonts w:eastAsia="Calibri"/>
                <w:b/>
                <w:bCs/>
                <w:lang w:val="ru-RU"/>
              </w:rPr>
              <w:t xml:space="preserve">металева</w:t>
            </w:r>
            <w:r>
              <w:rPr>
                <w:rFonts w:eastAsia="Calibri"/>
                <w:b/>
                <w:bCs/>
                <w:lang w:val="ru-RU"/>
              </w:rPr>
              <w:t xml:space="preserve"> </w:t>
            </w:r>
            <w:r>
              <w:rPr>
                <w:rFonts w:eastAsia="Calibri"/>
                <w:b/>
                <w:bCs/>
                <w:lang w:val="ru-RU"/>
              </w:rPr>
              <w:t xml:space="preserve">шафа</w:t>
            </w:r>
            <w:r>
              <w:rPr>
                <w:rFonts w:eastAsia="Calibri"/>
                <w:b/>
                <w:bCs/>
                <w:lang w:val="ru-RU"/>
              </w:rPr>
              <w:t xml:space="preserve"> (</w:t>
            </w:r>
            <w:r>
              <w:rPr>
                <w:rFonts w:eastAsia="Calibri"/>
                <w:b/>
                <w:bCs/>
                <w:lang w:val="ru-RU"/>
              </w:rPr>
              <w:t xml:space="preserve">архівна</w:t>
            </w:r>
            <w:r>
              <w:rPr>
                <w:rFonts w:eastAsia="Calibri"/>
                <w:b/>
                <w:bCs/>
                <w:lang w:val="ru-RU"/>
              </w:rPr>
              <w:t xml:space="preserve">) </w:t>
            </w:r>
            <w:r>
              <w:rPr>
                <w:rFonts w:eastAsia="Calibri"/>
                <w:b/>
                <w:bCs/>
                <w:lang w:val="ru-RU"/>
              </w:rPr>
              <w:t xml:space="preserve">із</w:t>
            </w:r>
            <w:r>
              <w:rPr>
                <w:rFonts w:eastAsia="Calibri"/>
                <w:b/>
                <w:bCs/>
                <w:lang w:val="ru-RU"/>
              </w:rPr>
              <w:t xml:space="preserve"> замком</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730"/>
              <w:jc w:val="center"/>
              <w:rPr>
                <w:lang w:val="ru-RU"/>
              </w:rPr>
            </w:pPr>
            <w:r>
              <w:rPr>
                <w:lang w:val="ru-RU"/>
              </w:rPr>
              <w:t xml:space="preserve">шт.</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730"/>
              <w:jc w:val="center"/>
              <w:rPr>
                <w:lang w:val="ru-RU"/>
              </w:rPr>
            </w:pPr>
            <w:r>
              <w:rPr>
                <w:b/>
                <w:lang w:val="ru-RU"/>
              </w:rPr>
              <w:t xml:space="preserve">1</w:t>
            </w:r>
            <w:r/>
          </w:p>
        </w:tc>
      </w:tr>
    </w:tbl>
    <w:p>
      <w:pPr>
        <w:pStyle w:val="730"/>
        <w:jc w:val="both"/>
        <w:spacing w:after="0" w:line="240" w:lineRule="auto"/>
        <w:rPr>
          <w:rFonts w:eastAsia="Times New Roman"/>
          <w:b/>
          <w:bCs/>
          <w:i/>
          <w:iCs/>
          <w:lang w:eastAsia="ru-RU"/>
        </w:rPr>
      </w:pPr>
      <w:r>
        <w:rPr>
          <w:rFonts w:eastAsia="Times New Roman"/>
          <w:b/>
          <w:bCs/>
          <w:i/>
          <w:iCs/>
          <w:lang w:eastAsia="ru-RU"/>
        </w:rPr>
      </w:r>
      <w:r/>
    </w:p>
    <w:p>
      <w:pPr>
        <w:jc w:val="both"/>
        <w:spacing w:after="0" w:line="240" w:lineRule="auto"/>
        <w:rPr>
          <w:rFonts w:ascii="Times New Roman" w:hAnsi="Times New Roman" w:cs="Times New Roman"/>
          <w:b/>
          <w:bCs/>
          <w:i/>
          <w:iCs/>
          <w:sz w:val="24"/>
          <w:szCs w:val="24"/>
          <w:lang w:eastAsia="ru-RU"/>
        </w:rPr>
      </w:pPr>
      <w:r>
        <w:rPr>
          <w:rFonts w:ascii="Times New Roman" w:hAnsi="Times New Roman" w:cs="Times New Roman"/>
          <w:b/>
          <w:bCs/>
          <w:i/>
          <w:iCs/>
          <w:sz w:val="24"/>
          <w:szCs w:val="24"/>
        </w:rPr>
        <w:t xml:space="preserve">У ціну мають бути включені прямі, загальновиробничі та адміністративні витрати з урахуванням витрат, у тому ч</w:t>
      </w:r>
      <w:r>
        <w:rPr>
          <w:rFonts w:ascii="Times New Roman" w:hAnsi="Times New Roman" w:cs="Times New Roman"/>
          <w:b/>
          <w:bCs/>
          <w:i/>
          <w:iCs/>
          <w:sz w:val="24"/>
          <w:szCs w:val="24"/>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rFonts w:ascii="Times New Roman" w:hAnsi="Times New Roman" w:cs="Times New Roman"/>
          <w:b/>
          <w:bCs/>
          <w:i/>
          <w:iCs/>
          <w:sz w:val="24"/>
          <w:szCs w:val="24"/>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rFonts w:ascii="Times New Roman" w:hAnsi="Times New Roman" w:cs="Times New Roman"/>
          <w:b/>
          <w:bCs/>
          <w:i/>
          <w:iCs/>
          <w:sz w:val="24"/>
          <w:szCs w:val="24"/>
        </w:rPr>
        <w:t xml:space="preserve">проєкту</w:t>
      </w:r>
      <w:r>
        <w:rPr>
          <w:rFonts w:ascii="Times New Roman" w:hAnsi="Times New Roman" w:cs="Times New Roman"/>
          <w:b/>
          <w:bCs/>
          <w:i/>
          <w:iCs/>
          <w:sz w:val="24"/>
          <w:szCs w:val="24"/>
        </w:rPr>
        <w:t xml:space="preserve"> Договору до моменту його повного завершення.</w:t>
      </w: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ind w:firstLine="567"/>
        <w:jc w:val="both"/>
        <w:spacing w:after="0" w:line="240" w:lineRule="auto"/>
        <w:rPr>
          <w:rFonts w:ascii="Times New Roman" w:hAnsi="Times New Roman" w:cs="Times New Roman"/>
          <w:sz w:val="24"/>
          <w:szCs w:val="24"/>
          <w:lang w:val="ru-RU" w:eastAsia="uk-UA"/>
        </w:rPr>
      </w:pPr>
      <w:r>
        <w:rPr>
          <w:rFonts w:ascii="Times New Roman" w:hAnsi="Times New Roman" w:cs="Times New Roman"/>
          <w:color w:val="000000"/>
          <w:sz w:val="24"/>
          <w:szCs w:val="24"/>
        </w:rPr>
        <w:t xml:space="preserve">Характеристики товару повинні відповідати вимогам або бути кращими тих, які наведені в таблиці.</w:t>
      </w:r>
      <w:r>
        <w:rPr>
          <w:rFonts w:ascii="Times New Roman" w:hAnsi="Times New Roman" w:cs="Times New Roman"/>
          <w:sz w:val="24"/>
          <w:szCs w:val="24"/>
          <w:lang w:eastAsia="uk-UA"/>
        </w:rPr>
        <w:t xml:space="preserve"> Пропо</w:t>
      </w:r>
      <w:r>
        <w:rPr>
          <w:rFonts w:ascii="Times New Roman" w:hAnsi="Times New Roman" w:cs="Times New Roman"/>
          <w:sz w:val="24"/>
          <w:szCs w:val="24"/>
          <w:lang w:eastAsia="uk-UA"/>
        </w:rPr>
        <w:t xml:space="preserve">зиція Учасника має містити чітке зазначення виробника, моделі та артикулу для можливості перевірки запропонованого товару технічним вимогам Замовника. У разі відсутності зазначених вимог, Замовник залишає право відхилити пропозицію запропонованого товару. </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 Товар повинен бути новим, з повною комплектацією. З товаром поставляються технічний паспорт чи інструкція з експлуатації українською мовою</w:t>
      </w:r>
      <w:r>
        <w:rPr>
          <w:rFonts w:ascii="Times New Roman" w:hAnsi="Times New Roman" w:cs="Times New Roman"/>
          <w:sz w:val="24"/>
          <w:szCs w:val="24"/>
          <w:lang w:eastAsia="uk-UA"/>
        </w:rPr>
        <w:t xml:space="preserve">, гарантійні талони, набір драйверів тощо,  передбачених для товару.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 Технічні та якісні характеристики повинні відповідати вимогам та стандартам відповідних діючих нормативних документів.</w:t>
      </w:r>
      <w:r/>
    </w:p>
    <w:p>
      <w:pPr>
        <w:jc w:val="both"/>
        <w:spacing w:after="0" w:line="240" w:lineRule="auto"/>
        <w:rPr>
          <w:rFonts w:ascii="Times New Roman" w:hAnsi="Times New Roman" w:cs="Times New Roman"/>
          <w:sz w:val="24"/>
          <w:szCs w:val="24"/>
          <w:lang w:val="ru-RU" w:eastAsia="uk-UA"/>
        </w:rPr>
      </w:pPr>
      <w:r>
        <w:rPr>
          <w:rFonts w:ascii="Times New Roman" w:hAnsi="Times New Roman" w:cs="Times New Roman"/>
          <w:sz w:val="24"/>
          <w:szCs w:val="24"/>
          <w:lang w:eastAsia="uk-UA"/>
        </w:rPr>
        <w:t xml:space="preserve">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5. Гарантія на товар повинна бути не менше гарантії виробника та складати не менше 12 (дванадцять) місяців (надати гарантійний лист)</w:t>
      </w:r>
      <w:r/>
    </w:p>
    <w:p>
      <w:pPr>
        <w:ind w:left="14" w:firstLine="538"/>
        <w:jc w:val="both"/>
        <w:spacing w:after="0" w:line="240" w:lineRule="auto"/>
        <w:rPr>
          <w:rFonts w:ascii="Times New Roman" w:hAnsi="Times New Roman" w:cs="Times New Roman"/>
          <w:sz w:val="24"/>
          <w:szCs w:val="24"/>
          <w:lang w:val="ru-RU" w:eastAsia="ar-SA"/>
        </w:rPr>
      </w:pPr>
      <w:r>
        <w:rPr>
          <w:rFonts w:ascii="Times New Roman" w:hAnsi="Times New Roman" w:cs="Times New Roman"/>
          <w:sz w:val="24"/>
          <w:szCs w:val="24"/>
          <w:lang w:eastAsia="ar-SA"/>
        </w:rPr>
        <w:t xml:space="preserve">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r/>
    </w:p>
    <w:p>
      <w:pPr>
        <w:ind w:left="14" w:firstLine="538"/>
        <w:jc w:val="both"/>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Таблиця відповідності</w:t>
      </w:r>
      <w:r/>
    </w:p>
    <w:p>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r>
      <w:r/>
    </w:p>
    <w:tbl>
      <w:tblPr>
        <w:tblpPr w:horzAnchor="margin" w:tblpXSpec="left" w:vertAnchor="text" w:tblpY="-62" w:leftFromText="180" w:topFromText="0" w:rightFromText="180" w:bottomFromText="160"/>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7"/>
        <w:gridCol w:w="2928"/>
        <w:gridCol w:w="3163"/>
        <w:gridCol w:w="2943"/>
      </w:tblGrid>
      <w:tr>
        <w:trPr/>
        <w:tc>
          <w:tcPr>
            <w:tcBorders>
              <w:top w:val="single" w:color="auto" w:sz="4" w:space="0"/>
              <w:left w:val="single" w:color="auto" w:sz="4" w:space="0"/>
              <w:bottom w:val="single" w:color="auto" w:sz="4" w:space="0"/>
              <w:right w:val="single" w:color="auto" w:sz="4" w:space="0"/>
            </w:tcBorders>
            <w:tcW w:w="520"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 з/п</w:t>
            </w:r>
            <w:r/>
          </w:p>
        </w:tc>
        <w:tc>
          <w:tcPr>
            <w:tcBorders>
              <w:top w:val="single" w:color="auto" w:sz="4" w:space="0"/>
              <w:left w:val="single" w:color="auto" w:sz="4" w:space="0"/>
              <w:bottom w:val="single" w:color="auto" w:sz="4" w:space="0"/>
              <w:right w:val="single" w:color="auto" w:sz="4" w:space="0"/>
            </w:tcBorders>
            <w:tcW w:w="3000" w:type="dxa"/>
            <w:vAlign w:val="center"/>
            <w:textDirection w:val="lrTb"/>
            <w:noWrap w:val="false"/>
          </w:tcPr>
          <w:p>
            <w:pPr>
              <w:contextualSpacing/>
              <w:ind w:left="14" w:firstLine="538"/>
              <w:jc w:val="center"/>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Характеристика</w:t>
            </w:r>
            <w:r/>
          </w:p>
        </w:tc>
        <w:tc>
          <w:tcPr>
            <w:tcBorders>
              <w:top w:val="single" w:color="auto" w:sz="4" w:space="0"/>
              <w:left w:val="single" w:color="auto" w:sz="4" w:space="0"/>
              <w:bottom w:val="single" w:color="auto" w:sz="4" w:space="0"/>
              <w:right w:val="single" w:color="auto" w:sz="4" w:space="0"/>
            </w:tcBorders>
            <w:tcW w:w="3396"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визначені Замовником</w:t>
            </w:r>
            <w:r/>
          </w:p>
        </w:tc>
        <w:tc>
          <w:tcPr>
            <w:tcBorders>
              <w:top w:val="single" w:color="auto" w:sz="4" w:space="0"/>
              <w:left w:val="single" w:color="auto" w:sz="4" w:space="0"/>
              <w:bottom w:val="single" w:color="auto" w:sz="4" w:space="0"/>
              <w:right w:val="single" w:color="auto" w:sz="4" w:space="0"/>
            </w:tcBorders>
            <w:tcW w:w="3115"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пропонуються Учасником</w:t>
            </w:r>
            <w:r/>
          </w:p>
        </w:tc>
      </w:tr>
    </w:tbl>
    <w:p>
      <w:pPr>
        <w:ind w:firstLine="263"/>
        <w:jc w:val="both"/>
        <w:spacing w:after="0" w:line="240" w:lineRule="auto"/>
        <w:rPr>
          <w:rFonts w:ascii="Times New Roman" w:hAnsi="Times New Roman" w:eastAsia="Times New Roman" w:cs="Times New Roman"/>
          <w:bCs/>
          <w:iCs/>
          <w:sz w:val="24"/>
          <w:szCs w:val="24"/>
          <w:lang w:val="ru-RU" w:eastAsia="ru-RU"/>
        </w:rPr>
      </w:pPr>
      <w:r>
        <w:rPr>
          <w:rFonts w:ascii="Times New Roman" w:hAnsi="Times New Roman" w:eastAsia="Times New Roman" w:cs="Times New Roman"/>
          <w:bCs/>
          <w:iCs/>
          <w:sz w:val="24"/>
          <w:szCs w:val="24"/>
          <w:lang w:val="ru-RU" w:eastAsia="ru-RU"/>
        </w:rPr>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Товар повинен відповідати вимогам:</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Закону України від 14.08.2014р. № 1644-VІІ «Про санкції»,</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r>
        <w:rPr>
          <w:rFonts w:ascii="Times New Roman" w:hAnsi="Times New Roman" w:cs="Times New Roman"/>
          <w:bCs/>
          <w:iCs/>
          <w:sz w:val="24"/>
          <w:szCs w:val="24"/>
        </w:rPr>
        <w:t xml:space="preserve">закупівель</w:t>
      </w:r>
      <w:r>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w:t>
      </w:r>
      <w:r>
        <w:rPr>
          <w:rFonts w:ascii="Times New Roman" w:hAnsi="Times New Roman" w:cs="Times New Roman"/>
          <w:bCs/>
          <w:iCs/>
          <w:sz w:val="24"/>
          <w:szCs w:val="24"/>
        </w:rPr>
        <w:t xml:space="preserve">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r/>
    </w:p>
    <w:p>
      <w:pPr>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bCs/>
          <w:iCs/>
          <w:sz w:val="24"/>
          <w:szCs w:val="24"/>
        </w:rPr>
        <w:t xml:space="preserve">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r/>
    </w:p>
    <w:p>
      <w:pPr>
        <w:ind w:firstLine="263"/>
        <w:jc w:val="both"/>
        <w:spacing w:after="0" w:line="240" w:lineRule="auto"/>
        <w:rPr>
          <w:rFonts w:ascii="Times New Roman" w:hAnsi="Times New Roman" w:cs="Times New Roman"/>
          <w:bCs/>
          <w:i/>
          <w:iCs/>
          <w:sz w:val="24"/>
          <w:szCs w:val="24"/>
          <w:lang w:val="ru-RU"/>
        </w:rPr>
      </w:pPr>
      <w:r>
        <w:rPr>
          <w:rFonts w:ascii="Times New Roman" w:hAnsi="Times New Roman" w:cs="Times New Roman"/>
          <w:bCs/>
          <w:i/>
          <w:iCs/>
          <w:sz w:val="24"/>
          <w:szCs w:val="24"/>
          <w:lang w:val="ru-RU"/>
        </w:rPr>
      </w:r>
      <w:r/>
    </w:p>
    <w:p>
      <w:pPr>
        <w:pStyle w:val="726"/>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w:t>
      </w:r>
      <w:r/>
    </w:p>
    <w:p>
      <w:pPr>
        <w:pStyle w:val="726"/>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r>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9"/>
        <w:gridCol w:w="7011"/>
        <w:gridCol w:w="917"/>
        <w:gridCol w:w="1177"/>
      </w:tblGrid>
      <w:tr>
        <w:trPr>
          <w:trHeight w:val="768"/>
        </w:trPr>
        <w:tc>
          <w:tcPr>
            <w:tcBorders>
              <w:top w:val="single" w:color="auto" w:sz="4" w:space="0"/>
              <w:left w:val="single" w:color="auto" w:sz="4" w:space="0"/>
              <w:bottom w:val="single" w:color="auto" w:sz="4" w:space="0"/>
              <w:right w:val="single" w:color="auto" w:sz="4" w:space="0"/>
            </w:tcBorders>
            <w:tcW w:w="529" w:type="dxa"/>
            <w:textDirection w:val="lrTb"/>
            <w:noWrap w:val="false"/>
          </w:tcPr>
          <w:p>
            <w:pPr>
              <w:pStyle w:val="746"/>
              <w:jc w:val="center"/>
              <w:rPr>
                <w:rFonts w:ascii="Times New Roman" w:hAnsi="Times New Roman"/>
                <w:sz w:val="24"/>
                <w:szCs w:val="24"/>
              </w:rPr>
            </w:pPr>
            <w:r>
              <w:rPr>
                <w:rFonts w:ascii="Times New Roman" w:hAnsi="Times New Roman"/>
                <w:sz w:val="24"/>
                <w:szCs w:val="24"/>
              </w:rPr>
              <w:t xml:space="preserve">№</w:t>
            </w:r>
            <w:r/>
          </w:p>
          <w:p>
            <w:pPr>
              <w:pStyle w:val="746"/>
              <w:jc w:val="center"/>
              <w:rPr>
                <w:rFonts w:ascii="Times New Roman" w:hAnsi="Times New Roman"/>
                <w:sz w:val="24"/>
                <w:szCs w:val="24"/>
              </w:rPr>
            </w:pPr>
            <w:r>
              <w:rPr>
                <w:rFonts w:ascii="Times New Roman" w:hAnsi="Times New Roman"/>
                <w:sz w:val="24"/>
                <w:szCs w:val="24"/>
              </w:rPr>
              <w:t xml:space="preserve">з/п</w:t>
            </w:r>
            <w:r/>
          </w:p>
        </w:tc>
        <w:tc>
          <w:tcPr>
            <w:tcBorders>
              <w:top w:val="single" w:color="auto" w:sz="4" w:space="0"/>
              <w:left w:val="single" w:color="auto" w:sz="4" w:space="0"/>
              <w:bottom w:val="single" w:color="auto" w:sz="4" w:space="0"/>
              <w:right w:val="single" w:color="auto" w:sz="4" w:space="0"/>
            </w:tcBorders>
            <w:tcW w:w="7011" w:type="dxa"/>
            <w:textDirection w:val="lrTb"/>
            <w:noWrap w:val="false"/>
          </w:tcPr>
          <w:p>
            <w:pPr>
              <w:pStyle w:val="746"/>
              <w:jc w:val="center"/>
              <w:rPr>
                <w:rFonts w:ascii="Times New Roman" w:hAnsi="Times New Roman"/>
                <w:sz w:val="24"/>
                <w:szCs w:val="24"/>
              </w:rPr>
            </w:pPr>
            <w:r>
              <w:rPr>
                <w:rFonts w:ascii="Times New Roman" w:hAnsi="Times New Roman"/>
                <w:sz w:val="24"/>
                <w:szCs w:val="24"/>
              </w:rPr>
              <w:t xml:space="preserve">Найменування обладнання</w:t>
            </w:r>
            <w:r/>
          </w:p>
        </w:tc>
        <w:tc>
          <w:tcPr>
            <w:tcBorders>
              <w:top w:val="single" w:color="auto" w:sz="4" w:space="0"/>
              <w:left w:val="single" w:color="auto" w:sz="4" w:space="0"/>
              <w:bottom w:val="single" w:color="auto" w:sz="4" w:space="0"/>
              <w:right w:val="single" w:color="auto" w:sz="4" w:space="0"/>
            </w:tcBorders>
            <w:tcW w:w="917" w:type="dxa"/>
            <w:textDirection w:val="lrTb"/>
            <w:noWrap w:val="false"/>
          </w:tcPr>
          <w:p>
            <w:pPr>
              <w:pStyle w:val="746"/>
              <w:jc w:val="center"/>
              <w:rPr>
                <w:rFonts w:ascii="Times New Roman" w:hAnsi="Times New Roman"/>
                <w:sz w:val="24"/>
                <w:szCs w:val="24"/>
              </w:rPr>
            </w:pPr>
            <w:r>
              <w:rPr>
                <w:rFonts w:ascii="Times New Roman" w:hAnsi="Times New Roman"/>
                <w:sz w:val="24"/>
                <w:szCs w:val="24"/>
              </w:rPr>
              <w:t xml:space="preserve">Од.</w:t>
            </w:r>
            <w:r/>
          </w:p>
          <w:p>
            <w:pPr>
              <w:pStyle w:val="746"/>
              <w:jc w:val="center"/>
              <w:rPr>
                <w:rFonts w:ascii="Times New Roman" w:hAnsi="Times New Roman"/>
                <w:sz w:val="24"/>
                <w:szCs w:val="24"/>
              </w:rPr>
            </w:pPr>
            <w:r>
              <w:rPr>
                <w:rFonts w:ascii="Times New Roman" w:hAnsi="Times New Roman"/>
                <w:sz w:val="24"/>
                <w:szCs w:val="24"/>
              </w:rPr>
              <w:t xml:space="preserve">виміру</w:t>
            </w:r>
            <w:r/>
          </w:p>
        </w:tc>
        <w:tc>
          <w:tcPr>
            <w:tcBorders>
              <w:top w:val="single" w:color="auto" w:sz="4" w:space="0"/>
              <w:left w:val="single" w:color="auto" w:sz="4" w:space="0"/>
              <w:bottom w:val="single" w:color="auto" w:sz="4" w:space="0"/>
              <w:right w:val="single" w:color="auto" w:sz="4" w:space="0"/>
            </w:tcBorders>
            <w:tcW w:w="1177" w:type="dxa"/>
            <w:textDirection w:val="lrTb"/>
            <w:noWrap w:val="false"/>
          </w:tcPr>
          <w:p>
            <w:pPr>
              <w:pStyle w:val="746"/>
              <w:jc w:val="center"/>
              <w:rPr>
                <w:rFonts w:ascii="Times New Roman" w:hAnsi="Times New Roman"/>
                <w:sz w:val="24"/>
                <w:szCs w:val="24"/>
              </w:rPr>
            </w:pPr>
            <w:r>
              <w:rPr>
                <w:rFonts w:ascii="Times New Roman" w:hAnsi="Times New Roman"/>
                <w:sz w:val="24"/>
                <w:szCs w:val="24"/>
              </w:rPr>
              <w:t xml:space="preserve">Кількість</w:t>
            </w:r>
            <w:r/>
          </w:p>
        </w:tc>
      </w:tr>
      <w:tr>
        <w:trPr>
          <w:trHeight w:val="409"/>
        </w:trPr>
        <w:tc>
          <w:tcPr>
            <w:tcBorders>
              <w:top w:val="single" w:color="auto" w:sz="4" w:space="0"/>
              <w:left w:val="single" w:color="auto" w:sz="4" w:space="0"/>
              <w:bottom w:val="single" w:color="auto" w:sz="4" w:space="0"/>
              <w:right w:val="single" w:color="auto" w:sz="4" w:space="0"/>
            </w:tcBorders>
            <w:tcW w:w="529" w:type="dxa"/>
            <w:vAlign w:val="center"/>
            <w:textDirection w:val="lrTb"/>
            <w:noWrap w:val="false"/>
          </w:tcPr>
          <w:p>
            <w:pPr>
              <w:pStyle w:val="746"/>
              <w:jc w:val="center"/>
              <w:rPr>
                <w:rFonts w:ascii="Times New Roman" w:hAnsi="Times New Roman"/>
                <w:b/>
                <w:bCs/>
                <w:sz w:val="24"/>
                <w:szCs w:val="24"/>
              </w:rPr>
            </w:pPr>
            <w:r>
              <w:rPr>
                <w:rFonts w:ascii="Times New Roman" w:hAnsi="Times New Roman"/>
                <w:b/>
                <w:bCs/>
                <w:sz w:val="24"/>
                <w:szCs w:val="24"/>
              </w:rPr>
              <w:t xml:space="preserve">1</w:t>
            </w:r>
            <w:r/>
          </w:p>
        </w:tc>
        <w:tc>
          <w:tcPr>
            <w:tcBorders>
              <w:top w:val="single" w:color="auto" w:sz="4" w:space="0"/>
              <w:left w:val="single" w:color="auto" w:sz="4" w:space="0"/>
              <w:bottom w:val="single" w:color="auto" w:sz="4" w:space="0"/>
              <w:right w:val="single" w:color="auto" w:sz="4" w:space="0"/>
            </w:tcBorders>
            <w:tcW w:w="7011" w:type="dxa"/>
            <w:textDirection w:val="lrTb"/>
            <w:noWrap w:val="false"/>
          </w:tcPr>
          <w:p>
            <w:pPr>
              <w:pStyle w:val="746"/>
              <w:jc w:val="center"/>
              <w:rPr>
                <w:rFonts w:ascii="Times New Roman" w:hAnsi="Times New Roman"/>
                <w:b/>
                <w:bCs/>
                <w:sz w:val="24"/>
                <w:szCs w:val="24"/>
              </w:rPr>
            </w:pPr>
            <w:r>
              <w:rPr>
                <w:rFonts w:ascii="Times New Roman" w:hAnsi="Times New Roman" w:eastAsia="Calibri"/>
                <w:b/>
                <w:bCs/>
                <w:sz w:val="24"/>
                <w:szCs w:val="24"/>
              </w:rPr>
              <w:t xml:space="preserve">Офісна металева шафа (архівна) із замком</w:t>
            </w:r>
            <w:r/>
          </w:p>
        </w:tc>
        <w:tc>
          <w:tcPr>
            <w:tcBorders>
              <w:top w:val="single" w:color="auto" w:sz="4" w:space="0"/>
              <w:left w:val="single" w:color="auto" w:sz="4" w:space="0"/>
              <w:bottom w:val="single" w:color="auto" w:sz="4" w:space="0"/>
              <w:right w:val="single" w:color="auto" w:sz="4" w:space="0"/>
            </w:tcBorders>
            <w:tcW w:w="917" w:type="dxa"/>
            <w:vAlign w:val="center"/>
            <w:textDirection w:val="lrTb"/>
            <w:noWrap w:val="false"/>
          </w:tcPr>
          <w:p>
            <w:pPr>
              <w:pStyle w:val="746"/>
              <w:jc w:val="center"/>
              <w:rPr>
                <w:rFonts w:ascii="Times New Roman" w:hAnsi="Times New Roman"/>
                <w:b/>
                <w:bCs/>
                <w:sz w:val="24"/>
                <w:szCs w:val="24"/>
              </w:rPr>
            </w:pPr>
            <w:r>
              <w:rPr>
                <w:rFonts w:ascii="Times New Roman" w:hAnsi="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177" w:type="dxa"/>
            <w:vAlign w:val="center"/>
            <w:textDirection w:val="lrTb"/>
            <w:noWrap w:val="false"/>
          </w:tcPr>
          <w:p>
            <w:pPr>
              <w:pStyle w:val="746"/>
              <w:jc w:val="center"/>
              <w:rPr>
                <w:rFonts w:ascii="Times New Roman" w:hAnsi="Times New Roman"/>
                <w:b/>
                <w:bCs/>
                <w:sz w:val="24"/>
                <w:szCs w:val="24"/>
              </w:rPr>
            </w:pPr>
            <w:r>
              <w:rPr>
                <w:rFonts w:ascii="Times New Roman" w:hAnsi="Times New Roman"/>
                <w:b/>
                <w:bCs/>
                <w:sz w:val="24"/>
                <w:szCs w:val="24"/>
              </w:rPr>
              <w:t xml:space="preserve">1</w:t>
            </w:r>
            <w:r/>
          </w:p>
        </w:tc>
      </w:tr>
      <w:tr>
        <w:trPr>
          <w:trHeight w:val="1266"/>
        </w:trPr>
        <w:tc>
          <w:tcPr>
            <w:gridSpan w:val="4"/>
            <w:tcBorders>
              <w:top w:val="single" w:color="auto" w:sz="4" w:space="0"/>
              <w:left w:val="single" w:color="auto" w:sz="4" w:space="0"/>
              <w:bottom w:val="single" w:color="auto" w:sz="4" w:space="0"/>
              <w:right w:val="single" w:color="auto" w:sz="4" w:space="0"/>
            </w:tcBorders>
            <w:tcW w:w="9634" w:type="dxa"/>
            <w:textDirection w:val="lrTb"/>
            <w:noWrap w:val="false"/>
          </w:tcPr>
          <w:p>
            <w:pPr>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Замок: ключовий</w:t>
            </w:r>
            <w:r/>
          </w:p>
          <w:p>
            <w:pPr>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Висота: 1976 мм ± 10 мм</w:t>
            </w:r>
            <w:r/>
          </w:p>
          <w:p>
            <w:pPr>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Ширина: 600 мм ± 10 мм</w:t>
            </w:r>
            <w:r/>
          </w:p>
          <w:p>
            <w:pPr>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Глибина: 455 мм ± 10 мм</w:t>
            </w:r>
            <w:r/>
          </w:p>
          <w:p>
            <w:pPr>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Кількість полиць: не менше 4 шт.</w:t>
            </w:r>
            <w:r/>
          </w:p>
          <w:p>
            <w:pPr>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Вага: не більше 50 кг.</w:t>
            </w:r>
            <w:r/>
          </w:p>
          <w:p>
            <w:pPr>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Для зберігання: не менше 50 папок "Корона" (60 мм)</w:t>
            </w:r>
            <w:r/>
          </w:p>
          <w:p>
            <w:pPr>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Колір: Сірий.</w:t>
            </w:r>
            <w:r/>
          </w:p>
          <w:p>
            <w:pPr>
              <w:spacing w:after="0" w:line="240" w:lineRule="auto"/>
              <w:shd w:val="clear" w:color="auto" w:fill="ffffff"/>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rPr>
              <w:t xml:space="preserve">Виготовлені з: сталь, товщиною 0,6-1,0мм </w:t>
            </w:r>
            <w:r/>
          </w:p>
          <w:p>
            <w:pPr>
              <w:spacing w:after="0" w:line="240" w:lineRule="auto"/>
              <w:shd w:val="clear" w:color="auto" w:fill="ffffff"/>
              <w:rPr>
                <w:rFonts w:ascii="Times New Roman" w:hAnsi="Times New Roman" w:cs="Times New Roman"/>
                <w:b/>
                <w:bCs/>
                <w:i/>
                <w:iCs/>
                <w:sz w:val="24"/>
                <w:szCs w:val="24"/>
                <w:shd w:val="clear" w:color="auto" w:fill="ffffff"/>
              </w:rPr>
            </w:pPr>
            <w:r>
              <w:rPr>
                <w:rFonts w:ascii="Times New Roman" w:hAnsi="Times New Roman" w:cs="Times New Roman"/>
                <w:sz w:val="24"/>
                <w:szCs w:val="24"/>
                <w:shd w:val="clear" w:color="auto" w:fill="ffffff"/>
              </w:rPr>
              <w:t xml:space="preserve">Пофарбована:  порошковою фарбою.</w:t>
            </w:r>
            <w:r>
              <w:rPr>
                <w:rFonts w:ascii="Times New Roman" w:hAnsi="Times New Roman" w:cs="Times New Roman"/>
                <w:sz w:val="24"/>
                <w:szCs w:val="24"/>
              </w:rPr>
              <w:br/>
            </w:r>
            <w:r>
              <w:rPr>
                <w:rFonts w:ascii="Times New Roman" w:hAnsi="Times New Roman" w:cs="Times New Roman"/>
                <w:sz w:val="24"/>
                <w:szCs w:val="24"/>
                <w:shd w:val="clear" w:color="auto" w:fill="ffffff"/>
              </w:rPr>
              <w:t xml:space="preserve">Полиці:  регулювання по висоті з кроком 4 см.</w:t>
            </w:r>
            <w:r>
              <w:rPr>
                <w:rFonts w:ascii="Times New Roman" w:hAnsi="Times New Roman" w:cs="Times New Roman"/>
                <w:sz w:val="24"/>
                <w:szCs w:val="24"/>
              </w:rPr>
              <w:br/>
            </w:r>
            <w:r>
              <w:rPr>
                <w:rFonts w:ascii="Times New Roman" w:hAnsi="Times New Roman" w:cs="Times New Roman"/>
                <w:sz w:val="24"/>
                <w:szCs w:val="24"/>
                <w:shd w:val="clear" w:color="auto" w:fill="ffffff"/>
              </w:rPr>
              <w:t xml:space="preserve">Максимальне розподілене навантаження на полицю – від 55 до 70 кг .</w:t>
            </w:r>
            <w:r>
              <w:rPr>
                <w:rFonts w:ascii="Times New Roman" w:hAnsi="Times New Roman" w:cs="Times New Roman"/>
                <w:sz w:val="24"/>
                <w:szCs w:val="24"/>
              </w:rPr>
              <w:br/>
            </w:r>
            <w:r>
              <w:rPr>
                <w:rFonts w:ascii="Times New Roman" w:hAnsi="Times New Roman" w:cs="Times New Roman"/>
                <w:sz w:val="24"/>
                <w:szCs w:val="24"/>
                <w:shd w:val="clear" w:color="auto" w:fill="ffffff"/>
              </w:rPr>
              <w:t xml:space="preserve">Ригельна система замикання</w:t>
            </w:r>
            <w:r>
              <w:rPr>
                <w:rFonts w:ascii="Times New Roman" w:hAnsi="Times New Roman" w:cs="Times New Roman"/>
                <w:sz w:val="24"/>
                <w:szCs w:val="24"/>
              </w:rPr>
              <w:br/>
            </w:r>
            <w:r>
              <w:rPr>
                <w:rFonts w:ascii="Times New Roman" w:hAnsi="Times New Roman" w:cs="Times New Roman"/>
                <w:sz w:val="24"/>
                <w:szCs w:val="24"/>
                <w:shd w:val="clear" w:color="auto" w:fill="ffffff"/>
              </w:rPr>
              <w:t xml:space="preserve">- Ригеля з нержавіючої сталі, встановлені всередині дверей</w:t>
            </w:r>
            <w:r>
              <w:rPr>
                <w:rFonts w:ascii="Times New Roman" w:hAnsi="Times New Roman" w:cs="Times New Roman"/>
                <w:sz w:val="24"/>
                <w:szCs w:val="24"/>
              </w:rPr>
              <w:br/>
            </w:r>
            <w:r>
              <w:rPr>
                <w:rFonts w:ascii="Times New Roman" w:hAnsi="Times New Roman" w:cs="Times New Roman"/>
                <w:sz w:val="24"/>
                <w:szCs w:val="24"/>
                <w:shd w:val="clear" w:color="auto" w:fill="ffffff"/>
              </w:rPr>
              <w:t xml:space="preserve">- Магнітні засувки фіксують розчинні двері в закритому стані при відкритому замку</w:t>
            </w:r>
            <w:r>
              <w:rPr>
                <w:rFonts w:ascii="Times New Roman" w:hAnsi="Times New Roman" w:cs="Times New Roman"/>
                <w:sz w:val="24"/>
                <w:szCs w:val="24"/>
              </w:rPr>
              <w:br/>
            </w:r>
            <w:r>
              <w:rPr>
                <w:rFonts w:ascii="Times New Roman" w:hAnsi="Times New Roman" w:cs="Times New Roman"/>
                <w:b/>
                <w:bCs/>
                <w:i/>
                <w:iCs/>
                <w:sz w:val="24"/>
                <w:szCs w:val="24"/>
                <w:shd w:val="clear" w:color="auto" w:fill="ffffff"/>
              </w:rPr>
              <w:t xml:space="preserve">Товар поставляється в зібраному стані</w:t>
            </w:r>
            <w:r/>
          </w:p>
          <w:p>
            <w:pPr>
              <w:spacing w:after="0" w:line="240" w:lineRule="auto"/>
              <w:shd w:val="clear" w:color="auto" w:fill="ffffff"/>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Орієнтовний ескіз Товару: </w:t>
            </w:r>
            <w:r/>
          </w:p>
          <w:p>
            <w:pPr>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rPr>
              <mc:AlternateContent>
                <mc:Choice Requires="wpg">
                  <w:drawing>
                    <wp:inline xmlns:wp="http://schemas.openxmlformats.org/drawingml/2006/wordprocessingDrawing" distT="0" distB="0" distL="0" distR="0">
                      <wp:extent cx="3810000" cy="2809875"/>
                      <wp:effectExtent l="0" t="0" r="0" b="9525"/>
                      <wp:docPr id="1" name="Рисунок 1" descr="Шафа архівна ШКГ-6 пен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Шафа архівна ШКГ-6 пенал"/>
                              <pic:cNvPicPr>
                                <a:picLocks noChangeAspect="1"/>
                              </pic:cNvPicPr>
                              <pic:nvPr/>
                            </pic:nvPicPr>
                            <pic:blipFill>
                              <a:blip r:embed="rId11"/>
                              <a:stretch/>
                            </pic:blipFill>
                            <pic:spPr bwMode="auto">
                              <a:xfrm>
                                <a:off x="0" y="0"/>
                                <a:ext cx="3810000" cy="2809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pt;height:221.2pt;mso-wrap-distance-left:0.0pt;mso-wrap-distance-top:0.0pt;mso-wrap-distance-right:0.0pt;mso-wrap-distance-bottom:0.0pt;" stroked="f">
                      <v:path textboxrect="0,0,0,0"/>
                      <v:imagedata r:id="rId11" o:title=""/>
                    </v:shape>
                  </w:pict>
                </mc:Fallback>
              </mc:AlternateContent>
            </w:r>
            <w:r/>
          </w:p>
        </w:tc>
      </w:tr>
    </w:tbl>
    <w:p>
      <w:pPr>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Cs/>
          <w:color w:val="000000" w:themeColor="text1"/>
          <w:sz w:val="24"/>
          <w:szCs w:val="24"/>
          <w:lang w:eastAsia="ru-RU"/>
        </w:rPr>
      </w:pPr>
      <w:r>
        <w:rPr>
          <w:rFonts w:ascii="Times New Roman" w:hAnsi="Times New Roman" w:eastAsia="Times New Roman" w:cs="Times New Roman"/>
          <w:bCs/>
          <w:color w:val="000000" w:themeColor="text1"/>
          <w:sz w:val="24"/>
          <w:szCs w:val="24"/>
          <w:lang w:eastAsia="ru-RU"/>
        </w:rPr>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lang w:val="ru-RU"/>
        </w:rPr>
      </w:pPr>
      <w:r>
        <w:rPr>
          <w:rFonts w:ascii="Times New Roman" w:hAnsi="Times New Roman" w:cs="Times New Roman"/>
          <w:bCs/>
          <w:color w:val="000000" w:themeColor="text1"/>
          <w:sz w:val="24"/>
          <w:szCs w:val="24"/>
          <w:lang w:val="ru-RU"/>
        </w:rPr>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sz w:val="24"/>
          <w:szCs w:val="24"/>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numPr>
          <w:ilvl w:val="0"/>
          <w:numId w:val="38"/>
        </w:numPr>
        <w:contextualSpacing/>
        <w:ind w:left="0" w:firstLine="0"/>
        <w:jc w:val="both"/>
        <w:spacing w:after="0" w:line="240" w:lineRule="auto"/>
        <w:rPr>
          <w:rFonts w:ascii="Times New Roman" w:hAnsi="Times New Roman" w:eastAsia="Calibri" w:cs="Times New Roman"/>
          <w:bCs/>
          <w:sz w:val="24"/>
          <w:szCs w:val="24"/>
          <w:lang w:eastAsia="zh-CN"/>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w:t>
      </w:r>
      <w:r>
        <w:rPr>
          <w:rFonts w:ascii="Times New Roman" w:hAnsi="Times New Roman" w:cs="Times New Roman"/>
          <w:bCs/>
          <w:i/>
          <w:iCs/>
          <w:sz w:val="24"/>
          <w:szCs w:val="24"/>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numPr>
          <w:ilvl w:val="0"/>
          <w:numId w:val="38"/>
        </w:numPr>
        <w:contextualSpacing/>
        <w:ind w:left="0" w:firstLine="0"/>
        <w:jc w:val="both"/>
        <w:spacing w:after="0" w:line="240" w:lineRule="auto"/>
        <w:rPr>
          <w:rFonts w:ascii="Times New Roman" w:hAnsi="Times New Roman" w:eastAsia="Calibri" w:cs="Times New Roman"/>
          <w:bCs/>
          <w:sz w:val="23"/>
          <w:szCs w:val="23"/>
          <w:lang w:eastAsia="zh-CN"/>
        </w:rPr>
      </w:pPr>
      <w:r>
        <w:rPr>
          <w:rFonts w:ascii="Times New Roman" w:hAnsi="Times New Roman" w:eastAsia="Calibri" w:cs="Times New Roman"/>
          <w:bCs/>
          <w:sz w:val="23"/>
          <w:szCs w:val="23"/>
          <w:lang w:eastAsia="zh-CN"/>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бю</w:t>
      </w:r>
      <w:r>
        <w:rPr>
          <w:rFonts w:ascii="Times New Roman" w:hAnsi="Times New Roman" w:eastAsia="Times New Roman" w:cs="Times New Roman"/>
          <w:sz w:val="24"/>
          <w:szCs w:val="24"/>
          <w:lang w:eastAsia="ru-RU"/>
        </w:rPr>
        <w:t xml:space="preserve">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9 325</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дев’ять тисяч триста двадцять п’ять гривень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w:t>
      </w:r>
      <w:r>
        <w:rPr>
          <w:rFonts w:ascii="Times New Roman" w:hAnsi="Times New Roman" w:eastAsia="Times New Roman" w:cs="Times New Roman"/>
          <w:sz w:val="24"/>
          <w:szCs w:val="24"/>
          <w:lang w:eastAsia="ru-RU"/>
        </w:rPr>
        <w:t xml:space="preserve">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w:t>
      </w:r>
      <w:r>
        <w:rPr>
          <w:rFonts w:ascii="Times New Roman" w:hAnsi="Times New Roman" w:eastAsia="Times New Roman" w:cs="Times New Roman"/>
          <w:sz w:val="24"/>
          <w:szCs w:val="24"/>
          <w:lang w:eastAsia="ru-RU"/>
        </w:rPr>
        <w:t xml:space="preserve">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2"/>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432" w:hanging="432"/>
        <w:tabs>
          <w:tab w:val="num" w:pos="0" w:leader="none"/>
        </w:tabs>
      </w:pPr>
      <w:rPr>
        <w:rFonts w:cs="Times New Roman"/>
        <w:b/>
        <w:sz w:val="24"/>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none"/>
      <w:isLgl w:val="false"/>
      <w:suff w:val="nothing"/>
      <w:lvlText w:val=""/>
      <w:lvlJc w:val="left"/>
      <w:pPr>
        <w:ind w:left="432" w:hanging="432"/>
        <w:tabs>
          <w:tab w:val="num" w:pos="0" w:leader="none"/>
        </w:tabs>
      </w:pPr>
      <w:rPr>
        <w:rFonts w:cs="Times New Roman"/>
        <w:b/>
        <w:iCs/>
        <w:sz w:val="26"/>
        <w:szCs w:val="26"/>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2">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6">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1"/>
  </w:num>
  <w:num w:numId="2">
    <w:abstractNumId w:val="19"/>
  </w:num>
  <w:num w:numId="3">
    <w:abstractNumId w:val="8"/>
  </w:num>
  <w:num w:numId="4">
    <w:abstractNumId w:val="26"/>
  </w:num>
  <w:num w:numId="5">
    <w:abstractNumId w:val="7"/>
  </w:num>
  <w:num w:numId="6">
    <w:abstractNumId w:val="32"/>
  </w:num>
  <w:num w:numId="7">
    <w:abstractNumId w:val="12"/>
  </w:num>
  <w:num w:numId="8">
    <w:abstractNumId w:val="34"/>
  </w:num>
  <w:num w:numId="9">
    <w:abstractNumId w:val="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3"/>
  </w:num>
  <w:num w:numId="17">
    <w:abstractNumId w:val="1"/>
  </w:num>
  <w:num w:numId="18">
    <w:abstractNumId w:val="36"/>
  </w:num>
  <w:num w:numId="19">
    <w:abstractNumId w:val="2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8"/>
  </w:num>
  <w:num w:numId="25">
    <w:abstractNumId w:val="21"/>
  </w:num>
  <w:num w:numId="26">
    <w:abstractNumId w:val="24"/>
  </w:num>
  <w:num w:numId="27">
    <w:abstractNumId w:val="29"/>
  </w:num>
  <w:num w:numId="28">
    <w:abstractNumId w:val="22"/>
  </w:num>
  <w:num w:numId="29">
    <w:abstractNumId w:val="30"/>
  </w:num>
  <w:num w:numId="30">
    <w:abstractNumId w:val="18"/>
  </w:num>
  <w:num w:numId="31">
    <w:abstractNumId w:val="3"/>
  </w:num>
  <w:num w:numId="32">
    <w:abstractNumId w:val="20"/>
  </w:num>
  <w:num w:numId="33">
    <w:abstractNumId w:val="17"/>
  </w:num>
  <w:num w:numId="34">
    <w:abstractNumId w:val="15"/>
  </w:num>
  <w:num w:numId="35">
    <w:abstractNumId w:val="35"/>
  </w:num>
  <w:num w:numId="36">
    <w:abstractNumId w:val="5"/>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19"/>
    <w:next w:val="719"/>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23"/>
    <w:link w:val="12"/>
    <w:uiPriority w:val="9"/>
    <w:rPr>
      <w:rFonts w:ascii="Arial" w:hAnsi="Arial" w:eastAsia="Arial" w:cs="Arial"/>
      <w:sz w:val="40"/>
      <w:szCs w:val="40"/>
    </w:rPr>
  </w:style>
  <w:style w:type="character" w:styleId="15">
    <w:name w:val="Heading 2 Char"/>
    <w:basedOn w:val="723"/>
    <w:link w:val="720"/>
    <w:uiPriority w:val="9"/>
    <w:rPr>
      <w:rFonts w:ascii="Arial" w:hAnsi="Arial" w:eastAsia="Arial" w:cs="Arial"/>
      <w:sz w:val="34"/>
    </w:rPr>
  </w:style>
  <w:style w:type="character" w:styleId="17">
    <w:name w:val="Heading 3 Char"/>
    <w:basedOn w:val="723"/>
    <w:link w:val="721"/>
    <w:uiPriority w:val="9"/>
    <w:rPr>
      <w:rFonts w:ascii="Arial" w:hAnsi="Arial" w:eastAsia="Arial" w:cs="Arial"/>
      <w:sz w:val="30"/>
      <w:szCs w:val="30"/>
    </w:rPr>
  </w:style>
  <w:style w:type="character" w:styleId="19">
    <w:name w:val="Heading 4 Char"/>
    <w:basedOn w:val="723"/>
    <w:link w:val="722"/>
    <w:uiPriority w:val="9"/>
    <w:rPr>
      <w:rFonts w:ascii="Arial" w:hAnsi="Arial" w:eastAsia="Arial" w:cs="Arial"/>
      <w:b/>
      <w:bCs/>
      <w:sz w:val="26"/>
      <w:szCs w:val="26"/>
    </w:rPr>
  </w:style>
  <w:style w:type="paragraph" w:styleId="20">
    <w:name w:val="Heading 5"/>
    <w:basedOn w:val="719"/>
    <w:next w:val="719"/>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23"/>
    <w:link w:val="20"/>
    <w:uiPriority w:val="9"/>
    <w:rPr>
      <w:rFonts w:ascii="Arial" w:hAnsi="Arial" w:eastAsia="Arial" w:cs="Arial"/>
      <w:b/>
      <w:bCs/>
      <w:sz w:val="24"/>
      <w:szCs w:val="24"/>
    </w:rPr>
  </w:style>
  <w:style w:type="paragraph" w:styleId="22">
    <w:name w:val="Heading 6"/>
    <w:basedOn w:val="719"/>
    <w:next w:val="719"/>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23"/>
    <w:link w:val="22"/>
    <w:uiPriority w:val="9"/>
    <w:rPr>
      <w:rFonts w:ascii="Arial" w:hAnsi="Arial" w:eastAsia="Arial" w:cs="Arial"/>
      <w:b/>
      <w:bCs/>
      <w:sz w:val="22"/>
      <w:szCs w:val="22"/>
    </w:rPr>
  </w:style>
  <w:style w:type="paragraph" w:styleId="24">
    <w:name w:val="Heading 7"/>
    <w:basedOn w:val="719"/>
    <w:next w:val="719"/>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23"/>
    <w:link w:val="24"/>
    <w:uiPriority w:val="9"/>
    <w:rPr>
      <w:rFonts w:ascii="Arial" w:hAnsi="Arial" w:eastAsia="Arial" w:cs="Arial"/>
      <w:b/>
      <w:bCs/>
      <w:i/>
      <w:iCs/>
      <w:sz w:val="22"/>
      <w:szCs w:val="22"/>
    </w:rPr>
  </w:style>
  <w:style w:type="paragraph" w:styleId="26">
    <w:name w:val="Heading 8"/>
    <w:basedOn w:val="719"/>
    <w:next w:val="719"/>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23"/>
    <w:link w:val="26"/>
    <w:uiPriority w:val="9"/>
    <w:rPr>
      <w:rFonts w:ascii="Arial" w:hAnsi="Arial" w:eastAsia="Arial" w:cs="Arial"/>
      <w:i/>
      <w:iCs/>
      <w:sz w:val="22"/>
      <w:szCs w:val="22"/>
    </w:rPr>
  </w:style>
  <w:style w:type="paragraph" w:styleId="28">
    <w:name w:val="Heading 9"/>
    <w:basedOn w:val="719"/>
    <w:next w:val="719"/>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23"/>
    <w:link w:val="28"/>
    <w:uiPriority w:val="9"/>
    <w:rPr>
      <w:rFonts w:ascii="Arial" w:hAnsi="Arial" w:eastAsia="Arial" w:cs="Arial"/>
      <w:i/>
      <w:iCs/>
      <w:sz w:val="21"/>
      <w:szCs w:val="21"/>
    </w:rPr>
  </w:style>
  <w:style w:type="paragraph" w:styleId="33">
    <w:name w:val="Title"/>
    <w:basedOn w:val="719"/>
    <w:next w:val="719"/>
    <w:link w:val="34"/>
    <w:uiPriority w:val="10"/>
    <w:qFormat/>
    <w:pPr>
      <w:contextualSpacing/>
      <w:spacing w:before="300" w:after="200"/>
    </w:pPr>
    <w:rPr>
      <w:sz w:val="48"/>
      <w:szCs w:val="48"/>
    </w:rPr>
  </w:style>
  <w:style w:type="character" w:styleId="34">
    <w:name w:val="Title Char"/>
    <w:basedOn w:val="723"/>
    <w:link w:val="33"/>
    <w:uiPriority w:val="10"/>
    <w:rPr>
      <w:sz w:val="48"/>
      <w:szCs w:val="48"/>
    </w:rPr>
  </w:style>
  <w:style w:type="paragraph" w:styleId="35">
    <w:name w:val="Subtitle"/>
    <w:basedOn w:val="719"/>
    <w:next w:val="719"/>
    <w:link w:val="36"/>
    <w:uiPriority w:val="11"/>
    <w:qFormat/>
    <w:pPr>
      <w:spacing w:before="200" w:after="200"/>
    </w:pPr>
    <w:rPr>
      <w:sz w:val="24"/>
      <w:szCs w:val="24"/>
    </w:rPr>
  </w:style>
  <w:style w:type="character" w:styleId="36">
    <w:name w:val="Subtitle Char"/>
    <w:basedOn w:val="723"/>
    <w:link w:val="35"/>
    <w:uiPriority w:val="11"/>
    <w:rPr>
      <w:sz w:val="24"/>
      <w:szCs w:val="24"/>
    </w:rPr>
  </w:style>
  <w:style w:type="paragraph" w:styleId="37">
    <w:name w:val="Quote"/>
    <w:basedOn w:val="719"/>
    <w:next w:val="719"/>
    <w:link w:val="38"/>
    <w:uiPriority w:val="29"/>
    <w:qFormat/>
    <w:pPr>
      <w:ind w:left="720" w:right="720"/>
    </w:pPr>
    <w:rPr>
      <w:i/>
    </w:rPr>
  </w:style>
  <w:style w:type="character" w:styleId="38">
    <w:name w:val="Quote Char"/>
    <w:link w:val="37"/>
    <w:uiPriority w:val="29"/>
    <w:rPr>
      <w:i/>
    </w:rPr>
  </w:style>
  <w:style w:type="paragraph" w:styleId="39">
    <w:name w:val="Intense Quote"/>
    <w:basedOn w:val="719"/>
    <w:next w:val="719"/>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19"/>
    <w:link w:val="42"/>
    <w:uiPriority w:val="99"/>
    <w:unhideWhenUsed/>
    <w:pPr>
      <w:spacing w:after="0" w:line="240" w:lineRule="auto"/>
      <w:tabs>
        <w:tab w:val="center" w:pos="7143" w:leader="none"/>
        <w:tab w:val="right" w:pos="14287" w:leader="none"/>
      </w:tabs>
    </w:pPr>
  </w:style>
  <w:style w:type="character" w:styleId="42">
    <w:name w:val="Header Char"/>
    <w:basedOn w:val="723"/>
    <w:link w:val="41"/>
    <w:uiPriority w:val="99"/>
  </w:style>
  <w:style w:type="character" w:styleId="44">
    <w:name w:val="Footer Char"/>
    <w:basedOn w:val="723"/>
    <w:link w:val="732"/>
    <w:uiPriority w:val="99"/>
  </w:style>
  <w:style w:type="paragraph" w:styleId="45">
    <w:name w:val="Caption"/>
    <w:basedOn w:val="719"/>
    <w:next w:val="719"/>
    <w:uiPriority w:val="35"/>
    <w:semiHidden/>
    <w:unhideWhenUsed/>
    <w:qFormat/>
    <w:pPr>
      <w:spacing w:line="276" w:lineRule="auto"/>
    </w:pPr>
    <w:rPr>
      <w:b/>
      <w:bCs/>
      <w:color w:val="4f81bd" w:themeColor="accent1"/>
      <w:sz w:val="18"/>
      <w:szCs w:val="18"/>
    </w:rPr>
  </w:style>
  <w:style w:type="character" w:styleId="46">
    <w:name w:val="Caption Char"/>
    <w:basedOn w:val="45"/>
    <w:link w:val="732"/>
    <w:uiPriority w:val="99"/>
  </w:style>
  <w:style w:type="table" w:styleId="48">
    <w:name w:val="Table Grid Light"/>
    <w:basedOn w:val="72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2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2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2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2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2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2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2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2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2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2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2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2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2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2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2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2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2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2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2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2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2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2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2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2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2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2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2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2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2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2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2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2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2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2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2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2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2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2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2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2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2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2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2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2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2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2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2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2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2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2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2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2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2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2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2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2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2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2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2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2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2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2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2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2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2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2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2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2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2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2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2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2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2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2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2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2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2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2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2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2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2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2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2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2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2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2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2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2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2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2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2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2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2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2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2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2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2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2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2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2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2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2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2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2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2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2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2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2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2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2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19"/>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23"/>
    <w:uiPriority w:val="99"/>
    <w:unhideWhenUsed/>
    <w:rPr>
      <w:vertAlign w:val="superscript"/>
    </w:rPr>
  </w:style>
  <w:style w:type="paragraph" w:styleId="177">
    <w:name w:val="endnote text"/>
    <w:basedOn w:val="719"/>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23"/>
    <w:uiPriority w:val="99"/>
    <w:semiHidden/>
    <w:unhideWhenUsed/>
    <w:rPr>
      <w:vertAlign w:val="superscript"/>
    </w:rPr>
  </w:style>
  <w:style w:type="paragraph" w:styleId="180">
    <w:name w:val="toc 1"/>
    <w:basedOn w:val="719"/>
    <w:next w:val="719"/>
    <w:uiPriority w:val="39"/>
    <w:unhideWhenUsed/>
    <w:pPr>
      <w:ind w:left="0" w:right="0" w:firstLine="0"/>
      <w:spacing w:after="57"/>
    </w:pPr>
  </w:style>
  <w:style w:type="paragraph" w:styleId="181">
    <w:name w:val="toc 2"/>
    <w:basedOn w:val="719"/>
    <w:next w:val="719"/>
    <w:uiPriority w:val="39"/>
    <w:unhideWhenUsed/>
    <w:pPr>
      <w:ind w:left="283" w:right="0" w:firstLine="0"/>
      <w:spacing w:after="57"/>
    </w:pPr>
  </w:style>
  <w:style w:type="paragraph" w:styleId="182">
    <w:name w:val="toc 3"/>
    <w:basedOn w:val="719"/>
    <w:next w:val="719"/>
    <w:uiPriority w:val="39"/>
    <w:unhideWhenUsed/>
    <w:pPr>
      <w:ind w:left="567" w:right="0" w:firstLine="0"/>
      <w:spacing w:after="57"/>
    </w:pPr>
  </w:style>
  <w:style w:type="paragraph" w:styleId="183">
    <w:name w:val="toc 4"/>
    <w:basedOn w:val="719"/>
    <w:next w:val="719"/>
    <w:uiPriority w:val="39"/>
    <w:unhideWhenUsed/>
    <w:pPr>
      <w:ind w:left="850" w:right="0" w:firstLine="0"/>
      <w:spacing w:after="57"/>
    </w:pPr>
  </w:style>
  <w:style w:type="paragraph" w:styleId="184">
    <w:name w:val="toc 5"/>
    <w:basedOn w:val="719"/>
    <w:next w:val="719"/>
    <w:uiPriority w:val="39"/>
    <w:unhideWhenUsed/>
    <w:pPr>
      <w:ind w:left="1134" w:right="0" w:firstLine="0"/>
      <w:spacing w:after="57"/>
    </w:pPr>
  </w:style>
  <w:style w:type="paragraph" w:styleId="185">
    <w:name w:val="toc 6"/>
    <w:basedOn w:val="719"/>
    <w:next w:val="719"/>
    <w:uiPriority w:val="39"/>
    <w:unhideWhenUsed/>
    <w:pPr>
      <w:ind w:left="1417" w:right="0" w:firstLine="0"/>
      <w:spacing w:after="57"/>
    </w:pPr>
  </w:style>
  <w:style w:type="paragraph" w:styleId="186">
    <w:name w:val="toc 7"/>
    <w:basedOn w:val="719"/>
    <w:next w:val="719"/>
    <w:uiPriority w:val="39"/>
    <w:unhideWhenUsed/>
    <w:pPr>
      <w:ind w:left="1701" w:right="0" w:firstLine="0"/>
      <w:spacing w:after="57"/>
    </w:pPr>
  </w:style>
  <w:style w:type="paragraph" w:styleId="187">
    <w:name w:val="toc 8"/>
    <w:basedOn w:val="719"/>
    <w:next w:val="719"/>
    <w:uiPriority w:val="39"/>
    <w:unhideWhenUsed/>
    <w:pPr>
      <w:ind w:left="1984" w:right="0" w:firstLine="0"/>
      <w:spacing w:after="57"/>
    </w:pPr>
  </w:style>
  <w:style w:type="paragraph" w:styleId="188">
    <w:name w:val="toc 9"/>
    <w:basedOn w:val="719"/>
    <w:next w:val="719"/>
    <w:uiPriority w:val="39"/>
    <w:unhideWhenUsed/>
    <w:pPr>
      <w:ind w:left="2268" w:right="0" w:firstLine="0"/>
      <w:spacing w:after="57"/>
    </w:pPr>
  </w:style>
  <w:style w:type="paragraph" w:styleId="189">
    <w:name w:val="TOC Heading"/>
    <w:uiPriority w:val="39"/>
    <w:unhideWhenUsed/>
  </w:style>
  <w:style w:type="paragraph" w:styleId="190">
    <w:name w:val="table of figures"/>
    <w:basedOn w:val="719"/>
    <w:next w:val="719"/>
    <w:uiPriority w:val="99"/>
    <w:unhideWhenUsed/>
    <w:pPr>
      <w:spacing w:after="0" w:afterAutospacing="0"/>
    </w:pPr>
  </w:style>
  <w:style w:type="paragraph" w:styleId="719" w:default="1">
    <w:name w:val="Normal"/>
    <w:qFormat/>
    <w:rPr>
      <w:lang w:val="uk-UA"/>
    </w:rPr>
  </w:style>
  <w:style w:type="paragraph" w:styleId="720">
    <w:name w:val="Heading 2"/>
    <w:basedOn w:val="719"/>
    <w:link w:val="741"/>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1">
    <w:name w:val="Heading 3"/>
    <w:basedOn w:val="719"/>
    <w:next w:val="719"/>
    <w:link w:val="758"/>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2">
    <w:name w:val="Heading 4"/>
    <w:basedOn w:val="719"/>
    <w:next w:val="719"/>
    <w:link w:val="759"/>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23" w:default="1">
    <w:name w:val="Default Paragraph Font"/>
    <w:uiPriority w:val="1"/>
    <w:semiHidden/>
    <w:unhideWhenUsed/>
  </w:style>
  <w:style w:type="table" w:styleId="724" w:default="1">
    <w:name w:val="Normal Table"/>
    <w:uiPriority w:val="99"/>
    <w:semiHidden/>
    <w:unhideWhenUsed/>
    <w:tblPr>
      <w:tblInd w:w="0" w:type="dxa"/>
      <w:tblCellMar>
        <w:left w:w="108" w:type="dxa"/>
        <w:top w:w="0" w:type="dxa"/>
        <w:right w:w="108" w:type="dxa"/>
        <w:bottom w:w="0" w:type="dxa"/>
      </w:tblCellMar>
    </w:tblPr>
  </w:style>
  <w:style w:type="numbering" w:styleId="725" w:default="1">
    <w:name w:val="No List"/>
    <w:uiPriority w:val="99"/>
    <w:semiHidden/>
    <w:unhideWhenUsed/>
  </w:style>
  <w:style w:type="paragraph" w:styleId="726">
    <w:name w:val="List Paragraph"/>
    <w:basedOn w:val="719"/>
    <w:link w:val="727"/>
    <w:uiPriority w:val="34"/>
    <w:qFormat/>
    <w:pPr>
      <w:contextualSpacing/>
      <w:ind w:left="720"/>
      <w:spacing w:after="200" w:line="276" w:lineRule="auto"/>
    </w:pPr>
    <w:rPr>
      <w:rFonts w:ascii="Calibri" w:hAnsi="Calibri" w:eastAsia="Calibri" w:cs="Calibri"/>
      <w:lang w:val="ru-RU" w:eastAsia="zh-CN"/>
    </w:rPr>
  </w:style>
  <w:style w:type="character" w:styleId="727" w:customStyle="1">
    <w:name w:val="Абзац списку Знак"/>
    <w:link w:val="726"/>
    <w:uiPriority w:val="34"/>
    <w:qFormat/>
    <w:rPr>
      <w:rFonts w:ascii="Calibri" w:hAnsi="Calibri" w:eastAsia="Calibri" w:cs="Calibri"/>
      <w:lang w:eastAsia="zh-CN"/>
    </w:rPr>
  </w:style>
  <w:style w:type="table" w:styleId="728">
    <w:name w:val="Table Grid"/>
    <w:basedOn w:val="724"/>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29" w:customStyle="1">
    <w:name w:val="Сетка таблицы2"/>
    <w:basedOn w:val="724"/>
    <w:next w:val="728"/>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0">
    <w:name w:val="Normal (Web)"/>
    <w:basedOn w:val="719"/>
    <w:link w:val="737"/>
    <w:unhideWhenUsed/>
    <w:qFormat/>
    <w:rPr>
      <w:rFonts w:ascii="Times New Roman" w:hAnsi="Times New Roman" w:cs="Times New Roman"/>
      <w:sz w:val="24"/>
      <w:szCs w:val="24"/>
    </w:rPr>
  </w:style>
  <w:style w:type="table" w:styleId="731" w:customStyle="1">
    <w:name w:val="Сетка таблицы1"/>
    <w:basedOn w:val="724"/>
    <w:next w:val="728"/>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2">
    <w:name w:val="Footer"/>
    <w:basedOn w:val="719"/>
    <w:link w:val="733"/>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33" w:customStyle="1">
    <w:name w:val="Нижній колонтитул Знак"/>
    <w:basedOn w:val="723"/>
    <w:link w:val="732"/>
    <w:uiPriority w:val="99"/>
    <w:rPr>
      <w:rFonts w:ascii="Calibri" w:hAnsi="Calibri" w:eastAsia="Calibri" w:cs="Calibri"/>
      <w:lang w:eastAsia="zh-CN"/>
    </w:rPr>
  </w:style>
  <w:style w:type="paragraph" w:styleId="734"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35">
    <w:name w:val="Hyperlink"/>
    <w:basedOn w:val="723"/>
    <w:uiPriority w:val="99"/>
    <w:unhideWhenUsed/>
    <w:rPr>
      <w:color w:val="0563c1" w:themeColor="hyperlink"/>
      <w:u w:val="single"/>
    </w:rPr>
  </w:style>
  <w:style w:type="character" w:styleId="736" w:customStyle="1">
    <w:name w:val="xfm_93972720"/>
    <w:basedOn w:val="723"/>
  </w:style>
  <w:style w:type="character" w:styleId="737" w:customStyle="1">
    <w:name w:val="Звичайний (веб) Знак"/>
    <w:link w:val="730"/>
    <w:qFormat/>
    <w:rPr>
      <w:rFonts w:ascii="Times New Roman" w:hAnsi="Times New Roman" w:cs="Times New Roman"/>
      <w:sz w:val="24"/>
      <w:szCs w:val="24"/>
      <w:lang w:val="uk-UA"/>
    </w:rPr>
  </w:style>
  <w:style w:type="paragraph" w:styleId="738">
    <w:name w:val="Body Text 2"/>
    <w:basedOn w:val="719"/>
    <w:link w:val="739"/>
    <w:pPr>
      <w:spacing w:after="0" w:line="240" w:lineRule="auto"/>
    </w:pPr>
    <w:rPr>
      <w:rFonts w:ascii="Times New Roman" w:hAnsi="Times New Roman" w:eastAsia="Times New Roman" w:cs="Times New Roman"/>
      <w:sz w:val="28"/>
      <w:szCs w:val="20"/>
      <w:lang w:val="ru-RU" w:eastAsia="ru-RU"/>
    </w:rPr>
  </w:style>
  <w:style w:type="character" w:styleId="739" w:customStyle="1">
    <w:name w:val="Основний текст 2 Знак"/>
    <w:basedOn w:val="723"/>
    <w:link w:val="738"/>
    <w:rPr>
      <w:rFonts w:ascii="Times New Roman" w:hAnsi="Times New Roman" w:eastAsia="Times New Roman" w:cs="Times New Roman"/>
      <w:sz w:val="28"/>
      <w:szCs w:val="20"/>
      <w:lang w:eastAsia="ru-RU"/>
    </w:rPr>
  </w:style>
  <w:style w:type="paragraph" w:styleId="740"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1" w:customStyle="1">
    <w:name w:val="Заголовок 2 Знак"/>
    <w:basedOn w:val="723"/>
    <w:link w:val="720"/>
    <w:uiPriority w:val="9"/>
    <w:rPr>
      <w:rFonts w:ascii="Times New Roman" w:hAnsi="Times New Roman" w:eastAsia="Times New Roman" w:cs="Times New Roman"/>
      <w:b/>
      <w:bCs/>
      <w:sz w:val="36"/>
      <w:szCs w:val="36"/>
      <w:lang w:val="uk-UA" w:eastAsia="uk-UA"/>
    </w:rPr>
  </w:style>
  <w:style w:type="paragraph" w:styleId="742">
    <w:name w:val="No Spacing"/>
    <w:link w:val="743"/>
    <w:uiPriority w:val="1"/>
    <w:qFormat/>
    <w:pPr>
      <w:spacing w:after="0" w:line="240" w:lineRule="auto"/>
    </w:pPr>
    <w:rPr>
      <w:rFonts w:ascii="Calibri" w:hAnsi="Calibri" w:eastAsia="Calibri" w:cs="Times New Roman"/>
      <w:lang w:val="uk-UA"/>
    </w:rPr>
  </w:style>
  <w:style w:type="character" w:styleId="743" w:customStyle="1">
    <w:name w:val="Без інтервалів Знак"/>
    <w:basedOn w:val="723"/>
    <w:link w:val="742"/>
    <w:uiPriority w:val="1"/>
    <w:rPr>
      <w:rFonts w:ascii="Calibri" w:hAnsi="Calibri" w:eastAsia="Calibri" w:cs="Times New Roman"/>
      <w:lang w:val="uk-UA"/>
    </w:rPr>
  </w:style>
  <w:style w:type="character" w:styleId="744" w:customStyle="1">
    <w:name w:val="Другое_"/>
    <w:basedOn w:val="723"/>
    <w:link w:val="745"/>
    <w:rPr>
      <w:rFonts w:ascii="Calibri" w:hAnsi="Calibri" w:eastAsia="Calibri" w:cs="Calibri"/>
      <w:sz w:val="20"/>
      <w:szCs w:val="20"/>
    </w:rPr>
  </w:style>
  <w:style w:type="paragraph" w:styleId="745" w:customStyle="1">
    <w:name w:val="Другое"/>
    <w:basedOn w:val="719"/>
    <w:link w:val="744"/>
    <w:qFormat/>
    <w:pPr>
      <w:spacing w:after="0" w:line="240" w:lineRule="auto"/>
      <w:widowControl w:val="off"/>
    </w:pPr>
    <w:rPr>
      <w:rFonts w:ascii="Calibri" w:hAnsi="Calibri" w:eastAsia="Calibri" w:cs="Calibri"/>
      <w:sz w:val="20"/>
      <w:szCs w:val="20"/>
      <w:lang w:val="ru-RU"/>
    </w:rPr>
  </w:style>
  <w:style w:type="paragraph" w:styleId="746"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47" w:customStyle="1">
    <w:name w:val="Основной текст (2)_"/>
    <w:basedOn w:val="723"/>
    <w:link w:val="748"/>
    <w:rPr>
      <w:rFonts w:eastAsia="Times New Roman" w:cs="Times New Roman"/>
      <w:shd w:val="clear" w:color="auto" w:fill="ffffff"/>
    </w:rPr>
  </w:style>
  <w:style w:type="paragraph" w:styleId="748" w:customStyle="1">
    <w:name w:val="Основной текст (2)"/>
    <w:basedOn w:val="719"/>
    <w:link w:val="747"/>
    <w:pPr>
      <w:ind w:hanging="700"/>
      <w:jc w:val="both"/>
      <w:spacing w:before="240" w:after="480" w:line="0" w:lineRule="atLeast"/>
      <w:shd w:val="clear" w:color="auto" w:fill="ffffff"/>
      <w:widowControl w:val="off"/>
    </w:pPr>
    <w:rPr>
      <w:rFonts w:eastAsia="Times New Roman" w:cs="Times New Roman"/>
      <w:lang w:val="ru-RU"/>
    </w:rPr>
  </w:style>
  <w:style w:type="character" w:styleId="749" w:customStyle="1">
    <w:name w:val="Текст у виносці Знак"/>
    <w:basedOn w:val="723"/>
    <w:link w:val="750"/>
    <w:uiPriority w:val="99"/>
    <w:semiHidden/>
    <w:rPr>
      <w:rFonts w:ascii="Segoe UI" w:hAnsi="Segoe UI" w:eastAsia="Times New Roman" w:cs="Segoe UI"/>
      <w:sz w:val="18"/>
      <w:szCs w:val="18"/>
      <w:lang w:eastAsia="ru-RU"/>
    </w:rPr>
  </w:style>
  <w:style w:type="paragraph" w:styleId="750">
    <w:name w:val="Balloon Text"/>
    <w:basedOn w:val="719"/>
    <w:link w:val="749"/>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1" w:customStyle="1">
    <w:name w:val="Текст у виносці Знак1"/>
    <w:basedOn w:val="723"/>
    <w:uiPriority w:val="99"/>
    <w:semiHidden/>
    <w:rPr>
      <w:rFonts w:ascii="Segoe UI" w:hAnsi="Segoe UI" w:cs="Segoe UI"/>
      <w:sz w:val="18"/>
      <w:szCs w:val="18"/>
      <w:lang w:val="uk-UA"/>
    </w:rPr>
  </w:style>
  <w:style w:type="character" w:styleId="752" w:customStyle="1">
    <w:name w:val="T23"/>
    <w:rPr>
      <w:rFonts w:hint="default" w:ascii="Times New Roman" w:hAnsi="Times New Roman" w:eastAsia="Times New Roman1" w:cs="Times New Roman"/>
    </w:rPr>
  </w:style>
  <w:style w:type="paragraph" w:styleId="753" w:customStyle="1">
    <w:name w:val="Абзац списку1"/>
    <w:basedOn w:val="719"/>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54" w:customStyle="1">
    <w:name w:val="markedcontent"/>
    <w:basedOn w:val="723"/>
  </w:style>
  <w:style w:type="paragraph" w:styleId="755">
    <w:name w:val="annotation text"/>
    <w:basedOn w:val="719"/>
    <w:link w:val="756"/>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56" w:customStyle="1">
    <w:name w:val="Текст примітки Знак"/>
    <w:basedOn w:val="723"/>
    <w:link w:val="755"/>
    <w:uiPriority w:val="99"/>
    <w:rPr>
      <w:rFonts w:ascii="Times New Roman" w:hAnsi="Times New Roman" w:eastAsia="Times New Roman" w:cs="Times New Roman"/>
      <w:sz w:val="20"/>
      <w:szCs w:val="20"/>
      <w:lang w:eastAsia="ru-RU"/>
    </w:rPr>
  </w:style>
  <w:style w:type="character" w:styleId="757" w:customStyle="1">
    <w:name w:val="docdata"/>
    <w:basedOn w:val="723"/>
  </w:style>
  <w:style w:type="character" w:styleId="758" w:customStyle="1">
    <w:name w:val="Заголовок 3 Знак"/>
    <w:basedOn w:val="723"/>
    <w:link w:val="721"/>
    <w:uiPriority w:val="9"/>
    <w:semiHidden/>
    <w:rPr>
      <w:rFonts w:asciiTheme="majorHAnsi" w:hAnsiTheme="majorHAnsi" w:eastAsiaTheme="majorEastAsia" w:cstheme="majorBidi"/>
      <w:color w:val="1f4d78" w:themeColor="accent1" w:themeShade="7F"/>
      <w:sz w:val="24"/>
      <w:szCs w:val="24"/>
      <w:lang w:val="uk-UA"/>
    </w:rPr>
  </w:style>
  <w:style w:type="character" w:styleId="759" w:customStyle="1">
    <w:name w:val="Заголовок 4 Знак"/>
    <w:basedOn w:val="723"/>
    <w:link w:val="722"/>
    <w:uiPriority w:val="9"/>
    <w:semiHidden/>
    <w:rPr>
      <w:rFonts w:asciiTheme="majorHAnsi" w:hAnsiTheme="majorHAnsi" w:eastAsiaTheme="majorEastAsia" w:cstheme="majorBidi"/>
      <w:i/>
      <w:iCs/>
      <w:color w:val="2e74b5" w:themeColor="accent1" w:themeShade="BF"/>
      <w:lang w:val="uk-UA"/>
    </w:rPr>
  </w:style>
  <w:style w:type="paragraph" w:styleId="760" w:customStyle="1">
    <w:name w:val="name-spec"/>
    <w:basedOn w:val="719"/>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1" w:customStyle="1">
    <w:name w:val="cont-spec"/>
    <w:basedOn w:val="719"/>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2">
    <w:name w:val="Strong"/>
    <w:basedOn w:val="723"/>
    <w:uiPriority w:val="22"/>
    <w:qFormat/>
    <w:rPr>
      <w:b/>
      <w:b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163</cp:revision>
  <dcterms:created xsi:type="dcterms:W3CDTF">2022-11-01T12:47:00Z</dcterms:created>
  <dcterms:modified xsi:type="dcterms:W3CDTF">2024-02-27T16:48:22Z</dcterms:modified>
</cp:coreProperties>
</file>