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w:t>
      </w:r>
      <w:r>
        <w:rPr>
          <w:rFonts w:ascii="Times New Roman" w:hAnsi="Times New Roman" w:cs="Times New Roman"/>
          <w:b/>
          <w:sz w:val="24"/>
          <w:szCs w:val="24"/>
        </w:rPr>
        <w:t xml:space="preserve">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4"/>
          <w:szCs w:val="24"/>
        </w:rPr>
      </w:pPr>
      <w:r>
        <w:rPr>
          <w:sz w:val="24"/>
          <w:szCs w:val="24"/>
        </w:rPr>
        <w:t xml:space="preserve">2.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відновлення асфальтобетонного покриття після порушення умов благоустрою під час будівництва «Реконструкція будівлі кінотеатру «Спутник» під адміністративно-інформаційний центр ДУ ЦІТ МВС України за адресою: м. Дніпро, вул. Титова, 18» </w:t>
      </w:r>
      <w:hyperlink r:id="rId11" w:tooltip="https://www.dzo.com.ua/tenders/17227183" w:history="1">
        <w:bookmarkStart w:id="0" w:name="_Hlk173921975"/>
        <w:r>
          <w:rPr>
            <w:b w:val="0"/>
            <w:bCs w:val="0"/>
            <w:sz w:val="24"/>
            <w:szCs w:val="24"/>
          </w:rPr>
          <w:t xml:space="preserve"> </w:t>
        </w:r>
        <w:r>
          <w:rPr>
            <w:b w:val="0"/>
            <w:bCs w:val="0"/>
            <w:color w:val="000000"/>
            <w:sz w:val="24"/>
            <w:szCs w:val="24"/>
          </w:rPr>
          <w:t xml:space="preserve">за кодом CPV за ЄЗС ДК 021:2015: </w:t>
        </w:r>
        <w:bookmarkEnd w:id="0"/>
        <w:r>
          <w:rPr>
            <w:b w:val="0"/>
            <w:bCs w:val="0"/>
            <w:color w:val="000000"/>
            <w:sz w:val="24"/>
            <w:szCs w:val="24"/>
          </w:rPr>
          <w:t xml:space="preserve">45230000-8 </w:t>
        </w:r>
        <w:r>
          <w:rPr>
            <w:b w:val="0"/>
            <w:bCs w:val="0"/>
            <w:sz w:val="24"/>
            <w:szCs w:val="24"/>
          </w:rPr>
          <w:t xml:space="preserve">Будівництво трубопроводів, ліній зв’язку та електропередач, шосе, доріг, аеродромів і залізничних доріг; вирівнювання поверхонь</w:t>
        </w:r>
        <w:r>
          <w:rPr>
            <w:b w:val="0"/>
            <w:bCs w:val="0"/>
            <w:color w:val="000000"/>
            <w:sz w:val="24"/>
            <w:szCs w:val="24"/>
          </w:rPr>
          <w:t xml:space="preserve"> </w:t>
        </w:r>
      </w:hyperlink>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011131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szCs w:val="24"/>
          <w:lang w:eastAsia="ru-RU"/>
        </w:rPr>
        <w:t xml:space="preserve">4. Обґрунтування технічних та якісних характеристик предмета закупівлі</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lang w:eastAsia="uk-UA"/>
        </w:rPr>
        <w:t xml:space="preserve">Послуги з відновлення асфальтобетонного покриття після порушення умов благоустрою під час будівництва «Реконструкція будівлі кінотеатру «Спутник» під адміністративно-інформаційний центр ДУ ЦІТ МВС України за адресою: м. Дніпро, вул. Титова, 18» </w:t>
      </w:r>
      <w:hyperlink r:id="rId12" w:tooltip="https://www.dzo.com.ua/tenders/17227183" w:history="1">
        <w:r>
          <w:rPr>
            <w:rFonts w:ascii="Times New Roman" w:hAnsi="Times New Roman" w:cs="Times New Roman"/>
            <w:sz w:val="24"/>
            <w:szCs w:val="24"/>
            <w:lang w:eastAsia="uk-UA"/>
          </w:rPr>
          <w:t xml:space="preserve"> </w:t>
        </w:r>
        <w:r>
          <w:rPr>
            <w:rFonts w:ascii="Times New Roman" w:hAnsi="Times New Roman" w:cs="Times New Roman"/>
            <w:color w:val="000000"/>
            <w:sz w:val="24"/>
            <w:szCs w:val="24"/>
            <w:lang w:eastAsia="uk-UA"/>
          </w:rPr>
          <w:t xml:space="preserve">за кодом CPV за ЄЗС ДК 021:2015: 45230000-8 </w:t>
        </w:r>
        <w:r>
          <w:rPr>
            <w:rFonts w:ascii="Times New Roman" w:hAnsi="Times New Roman" w:cs="Times New Roman"/>
            <w:sz w:val="24"/>
            <w:szCs w:val="24"/>
            <w:lang w:eastAsia="uk-UA"/>
          </w:rPr>
          <w:t xml:space="preserve">Будівництво трубопроводів, ліній зв’язку та електропередач, шосе, доріг, аеродромів і залізничних доріг; вирівнювання поверхонь</w:t>
        </w:r>
        <w:r>
          <w:rPr>
            <w:rFonts w:ascii="Times New Roman" w:hAnsi="Times New Roman" w:cs="Times New Roman"/>
            <w:b/>
            <w:bCs/>
            <w:color w:val="000000"/>
            <w:sz w:val="24"/>
            <w:szCs w:val="24"/>
            <w:lang w:eastAsia="uk-UA"/>
          </w:rPr>
          <w:t xml:space="preserve"> </w:t>
        </w:r>
      </w:hyperlink>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73"/>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 п/п</w:t>
            </w:r>
            <w:r/>
          </w:p>
        </w:tc>
        <w:tc>
          <w:tcPr>
            <w:tcW w:w="5670"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Назва системи</w:t>
            </w:r>
            <w:r/>
          </w:p>
        </w:tc>
        <w:tc>
          <w:tcPr>
            <w:tcW w:w="1701"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Одиниця виміру</w:t>
            </w:r>
            <w:r/>
          </w:p>
        </w:tc>
        <w:tc>
          <w:tcPr>
            <w:tcW w:w="1701" w:type="dxa"/>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Кількість</w:t>
            </w:r>
            <w:r/>
          </w:p>
        </w:tc>
      </w:tr>
      <w:tr>
        <w:trPr/>
        <w:tc>
          <w:tcPr>
            <w:tcW w:w="562" w:type="dxa"/>
            <w:vAlign w:val="center"/>
            <w:textDirection w:val="lrTb"/>
            <w:noWrap w:val="false"/>
          </w:tcPr>
          <w:p>
            <w:pPr>
              <w:jc w:val="center"/>
              <w:rPr>
                <w:rFonts w:ascii="Times New Roman" w:hAnsi="Times New Roman" w:cs="Times New Roman"/>
                <w:sz w:val="24"/>
                <w:szCs w:val="24"/>
                <w:lang w:eastAsia="uk-UA"/>
              </w:rPr>
            </w:pPr>
            <w:r>
              <w:rPr>
                <w:rFonts w:ascii="Times New Roman" w:hAnsi="Times New Roman" w:cs="Times New Roman"/>
                <w:b/>
                <w:bCs/>
                <w:sz w:val="24"/>
                <w:szCs w:val="24"/>
                <w:lang w:eastAsia="uk-UA"/>
              </w:rPr>
              <w:t xml:space="preserve">1</w:t>
            </w:r>
            <w:r/>
          </w:p>
        </w:tc>
        <w:tc>
          <w:tcPr>
            <w:tcW w:w="5670" w:type="dxa"/>
            <w:textDirection w:val="lrTb"/>
            <w:noWrap w:val="false"/>
          </w:tcPr>
          <w:p>
            <w:pPr>
              <w:ind w:firstLine="357"/>
              <w:jc w:val="center"/>
              <w:rPr>
                <w:rFonts w:ascii="Times New Roman" w:hAnsi="Times New Roman" w:cs="Times New Roman"/>
                <w:b/>
                <w:color w:val="000000"/>
                <w:sz w:val="24"/>
                <w:szCs w:val="24"/>
              </w:rPr>
            </w:pPr>
            <w:r>
              <w:rPr>
                <w:rFonts w:ascii="Times New Roman" w:hAnsi="Times New Roman" w:cs="Times New Roman"/>
                <w:b/>
                <w:sz w:val="24"/>
                <w:szCs w:val="24"/>
                <w:lang w:eastAsia="uk-UA"/>
              </w:rPr>
              <w:t xml:space="preserve">Послуги з відновлення асфальтобетонного покриття після порушення умов благоустрою під час будівництва «Реконструкція будівлі кінотеатру «Спутник» під адміністративно-інформаційний центр ДУ ЦІТ МВС України за адресою: м. Дніпро, вул. Титова, 18»</w:t>
            </w:r>
            <w:r/>
          </w:p>
        </w:tc>
        <w:tc>
          <w:tcPr>
            <w:tcW w:w="1701" w:type="dxa"/>
            <w:vAlign w:val="center"/>
            <w:textDirection w:val="lrTb"/>
            <w:noWrap w:val="false"/>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послуга</w:t>
            </w:r>
            <w:r/>
          </w:p>
        </w:tc>
        <w:tc>
          <w:tcPr>
            <w:tcW w:w="1701" w:type="dxa"/>
            <w:vAlign w:val="center"/>
            <w:textDirection w:val="lrTb"/>
            <w:noWrap w:val="false"/>
          </w:tcPr>
          <w:p>
            <w:pPr>
              <w:jc w:val="center"/>
              <w:rPr>
                <w:rFonts w:ascii="Times New Roman" w:hAnsi="Times New Roman" w:cs="Times New Roman"/>
                <w:sz w:val="24"/>
                <w:szCs w:val="24"/>
                <w:lang w:val="en-US" w:eastAsia="uk-UA"/>
              </w:rPr>
            </w:pPr>
            <w:r>
              <w:rPr>
                <w:rFonts w:ascii="Times New Roman" w:hAnsi="Times New Roman" w:cs="Times New Roman"/>
                <w:sz w:val="24"/>
                <w:szCs w:val="24"/>
                <w:lang w:val="en-US" w:eastAsia="uk-UA"/>
              </w:rPr>
              <w:t xml:space="preserve">1</w:t>
            </w:r>
            <w:r/>
          </w:p>
        </w:tc>
      </w:tr>
    </w:tbl>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r>
      <w:r/>
    </w:p>
    <w:p>
      <w:pPr>
        <w:contextualSpacing/>
        <w:ind w:firstLine="567"/>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Відомість обсягів послуги</w:t>
      </w:r>
      <w:r/>
    </w:p>
    <w:p>
      <w:pPr>
        <w:contextualSpacing/>
        <w:ind w:firstLine="567"/>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Умови надання послуги: послуги надаються в нормальних, звичних умовах, будь-які обставини, що ускладнюють надання послуг на об</w:t>
      </w:r>
      <w:r>
        <w:rPr>
          <w:rFonts w:ascii="Times New Roman" w:hAnsi="Times New Roman" w:cs="Times New Roman"/>
          <w:color w:val="000000"/>
          <w:sz w:val="24"/>
          <w:szCs w:val="24"/>
          <w:lang w:val="ru-RU"/>
        </w:rPr>
        <w:t xml:space="preserve">’</w:t>
      </w:r>
      <w:r>
        <w:rPr>
          <w:rFonts w:ascii="Times New Roman" w:hAnsi="Times New Roman" w:cs="Times New Roman"/>
          <w:color w:val="000000"/>
          <w:sz w:val="24"/>
          <w:szCs w:val="24"/>
        </w:rPr>
        <w:t xml:space="preserve">єкті, відсутні.</w:t>
      </w:r>
      <w:r/>
    </w:p>
    <w:p>
      <w:pPr>
        <w:contextualSpacing/>
        <w:ind w:firstLine="567"/>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 договірної ціни – динамічна.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0"/>
        <w:gridCol w:w="5900"/>
        <w:gridCol w:w="1560"/>
        <w:gridCol w:w="1560"/>
      </w:tblGrid>
      <w:tr>
        <w:trPr>
          <w:trHeight w:val="859"/>
        </w:trPr>
        <w:tc>
          <w:tcPr>
            <w:shd w:val="clear" w:color="auto" w:fill="auto"/>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t xml:space="preserve">п/п</w:t>
            </w:r>
            <w:r/>
          </w:p>
        </w:tc>
        <w:tc>
          <w:tcPr>
            <w:shd w:val="clear" w:color="auto" w:fill="auto"/>
            <w:tcW w:w="590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br/>
              <w:t xml:space="preserve">Найменування робіт та витрат</w:t>
            </w:r>
            <w:r>
              <w:rPr>
                <w:rFonts w:ascii="Times New Roman" w:hAnsi="Times New Roman" w:cs="Times New Roman"/>
                <w:color w:val="000000"/>
                <w:sz w:val="24"/>
                <w:szCs w:val="24"/>
                <w:lang w:eastAsia="uk-UA"/>
              </w:rPr>
              <w:br/>
              <w:t xml:space="preserve"> </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w:t>
            </w:r>
            <w:r>
              <w:rPr>
                <w:rFonts w:ascii="Times New Roman" w:hAnsi="Times New Roman" w:cs="Times New Roman"/>
                <w:color w:val="000000"/>
                <w:sz w:val="24"/>
                <w:szCs w:val="24"/>
                <w:lang w:eastAsia="uk-UA"/>
              </w:rPr>
              <w:br/>
              <w:t xml:space="preserve">виміру</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Кількість</w:t>
            </w:r>
            <w:r/>
          </w:p>
        </w:tc>
      </w:tr>
      <w:tr>
        <w:trPr>
          <w:trHeight w:val="563"/>
        </w:trPr>
        <w:tc>
          <w:tcPr>
            <w:shd w:val="clear" w:color="auto" w:fill="auto"/>
            <w:tcW w:w="62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590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Локальний кошторис 07-01-01 на Послуги з відновлення асфальтобетонного покриття</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Розбирання дорожніх покриттів та основ</w:t>
            </w:r>
            <w:r>
              <w:rPr>
                <w:rFonts w:ascii="Times New Roman" w:hAnsi="Times New Roman" w:cs="Times New Roman"/>
                <w:color w:val="000000"/>
                <w:sz w:val="24"/>
                <w:szCs w:val="24"/>
                <w:lang w:eastAsia="uk-UA"/>
              </w:rPr>
              <w:br/>
              <w:t xml:space="preserve">асфальтобетонних</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106,05</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Навантаження сміття екскаваторами на автомобілі-</w:t>
            </w:r>
            <w:r>
              <w:rPr>
                <w:rFonts w:ascii="Times New Roman" w:hAnsi="Times New Roman" w:cs="Times New Roman"/>
                <w:color w:val="000000"/>
                <w:sz w:val="24"/>
                <w:szCs w:val="24"/>
                <w:lang w:eastAsia="uk-UA"/>
              </w:rPr>
              <w:br/>
              <w:t xml:space="preserve">самоскиди, місткість ковша екскаватора 0,25 м3.</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254,52</w:t>
            </w:r>
            <w:r/>
          </w:p>
        </w:tc>
      </w:tr>
      <w:tr>
        <w:trPr>
          <w:trHeight w:val="297"/>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сміття до 15 км</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254,52</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Виправлення профілю щебеневих основ без додавання</w:t>
            </w:r>
            <w:r>
              <w:rPr>
                <w:rFonts w:ascii="Times New Roman" w:hAnsi="Times New Roman" w:cs="Times New Roman"/>
                <w:color w:val="000000"/>
                <w:sz w:val="24"/>
                <w:szCs w:val="24"/>
                <w:lang w:eastAsia="uk-UA"/>
              </w:rPr>
              <w:br/>
              <w:t xml:space="preserve">нового матеріалу</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1515</w:t>
            </w:r>
            <w:r/>
          </w:p>
        </w:tc>
      </w:tr>
      <w:tr>
        <w:trPr>
          <w:trHeight w:val="297"/>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основи із щебеню одношарової</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1515</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основи зі щебеню, за зміни товщини на</w:t>
            </w:r>
            <w:r>
              <w:rPr>
                <w:rFonts w:ascii="Times New Roman" w:hAnsi="Times New Roman" w:cs="Times New Roman"/>
                <w:color w:val="000000"/>
                <w:sz w:val="24"/>
                <w:szCs w:val="24"/>
                <w:lang w:eastAsia="uk-UA"/>
              </w:rPr>
              <w:br/>
              <w:t xml:space="preserve">кожен 1 см додавати до загальної товщини основи 7см</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-1515</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асфальтобетонного покриття доріжок і</w:t>
            </w:r>
            <w:r>
              <w:rPr>
                <w:rFonts w:ascii="Times New Roman" w:hAnsi="Times New Roman" w:cs="Times New Roman"/>
                <w:color w:val="000000"/>
                <w:sz w:val="24"/>
                <w:szCs w:val="24"/>
                <w:lang w:eastAsia="uk-UA"/>
              </w:rPr>
              <w:br/>
              <w:t xml:space="preserve">тротуарів одношарових із литої асфальтобетонної суміші</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1515</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асфальтобетонного покриття доріжок і</w:t>
            </w:r>
            <w:r>
              <w:rPr>
                <w:rFonts w:ascii="Times New Roman" w:hAnsi="Times New Roman" w:cs="Times New Roman"/>
                <w:color w:val="000000"/>
                <w:sz w:val="24"/>
                <w:szCs w:val="24"/>
                <w:lang w:eastAsia="uk-UA"/>
              </w:rPr>
              <w:br/>
              <w:t xml:space="preserve">тротуарів одношарових, на кожні 0,5 см зміни товщини</w:t>
            </w:r>
            <w:r>
              <w:rPr>
                <w:rFonts w:ascii="Times New Roman" w:hAnsi="Times New Roman" w:cs="Times New Roman"/>
                <w:color w:val="000000"/>
                <w:sz w:val="24"/>
                <w:szCs w:val="24"/>
                <w:lang w:eastAsia="uk-UA"/>
              </w:rPr>
              <w:br/>
              <w:t xml:space="preserve">шару додавати (до загальної товщини покриття 7см)</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1515</w:t>
            </w:r>
            <w:r/>
          </w:p>
        </w:tc>
      </w:tr>
      <w:tr>
        <w:trPr>
          <w:trHeight w:val="297"/>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Розбирання бортових каменів на бетонній основі</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139,6</w:t>
            </w:r>
            <w:r/>
          </w:p>
        </w:tc>
      </w:tr>
      <w:tr>
        <w:trPr>
          <w:trHeight w:val="825"/>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Очищення та приведення бортових каменів після</w:t>
            </w:r>
            <w:r>
              <w:rPr>
                <w:rFonts w:ascii="Times New Roman" w:hAnsi="Times New Roman" w:cs="Times New Roman"/>
                <w:color w:val="000000"/>
                <w:sz w:val="24"/>
                <w:szCs w:val="24"/>
                <w:lang w:eastAsia="uk-UA"/>
              </w:rPr>
              <w:br/>
              <w:t xml:space="preserve">розбирання в придатний для повторного застосування</w:t>
            </w:r>
            <w:r>
              <w:rPr>
                <w:rFonts w:ascii="Times New Roman" w:hAnsi="Times New Roman" w:cs="Times New Roman"/>
                <w:color w:val="000000"/>
                <w:sz w:val="24"/>
                <w:szCs w:val="24"/>
                <w:lang w:eastAsia="uk-UA"/>
              </w:rPr>
              <w:br/>
              <w:t xml:space="preserve">стан</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558,4</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природних бортових каменів на бетонну</w:t>
            </w:r>
            <w:r>
              <w:rPr>
                <w:rFonts w:ascii="Times New Roman" w:hAnsi="Times New Roman" w:cs="Times New Roman"/>
                <w:color w:val="000000"/>
                <w:sz w:val="24"/>
                <w:szCs w:val="24"/>
                <w:lang w:eastAsia="uk-UA"/>
              </w:rPr>
              <w:br/>
              <w:t xml:space="preserve">основу (раніше демонтованих)</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139,6</w:t>
            </w:r>
            <w:r/>
          </w:p>
        </w:tc>
      </w:tr>
      <w:tr>
        <w:trPr>
          <w:trHeight w:val="563"/>
        </w:trPr>
        <w:tc>
          <w:tcPr>
            <w:shd w:val="clear" w:color="auto" w:fill="auto"/>
            <w:tcW w:w="620"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W w:w="590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Нанесення горизонтальної дорожньої розмітки фарбою</w:t>
            </w:r>
            <w:r>
              <w:rPr>
                <w:rFonts w:ascii="Times New Roman" w:hAnsi="Times New Roman" w:cs="Times New Roman"/>
                <w:color w:val="000000"/>
                <w:sz w:val="24"/>
                <w:szCs w:val="24"/>
                <w:lang w:eastAsia="uk-UA"/>
              </w:rPr>
              <w:br/>
              <w:t xml:space="preserve">вручну, тип лінії 1.1, при ширині лінії 100 мм</w:t>
            </w:r>
            <w:r/>
          </w:p>
        </w:tc>
        <w:tc>
          <w:tcPr>
            <w:shd w:val="clear" w:color="auto" w:fill="auto"/>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shd w:val="clear" w:color="auto" w:fill="auto"/>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contextualSpacing/>
        <w:ind w:firstLine="56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ПІДСУМКОВА ВІДОМІСТЬ РЕСУРСІВ (для розрахунків Учаснику)</w:t>
      </w:r>
      <w:r/>
    </w:p>
    <w:tbl>
      <w:tblPr>
        <w:tblW w:w="9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tblCellMar>
        <w:tblLook w:val="04A0" w:firstRow="1" w:lastRow="0" w:firstColumn="1" w:lastColumn="0" w:noHBand="0" w:noVBand="1"/>
      </w:tblPr>
      <w:tblGrid>
        <w:gridCol w:w="617"/>
        <w:gridCol w:w="1523"/>
        <w:gridCol w:w="4512"/>
        <w:gridCol w:w="1229"/>
        <w:gridCol w:w="1357"/>
        <w:gridCol w:w="236"/>
      </w:tblGrid>
      <w:tr>
        <w:trPr>
          <w:gridAfter w:val="1"/>
          <w:trHeight w:val="597"/>
        </w:trPr>
        <w:tc>
          <w:tcPr>
            <w:shd w:val="clear" w:color="auto" w:fill="auto"/>
            <w:tcW w:w="617"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w:t>
            </w:r>
            <w:r>
              <w:rPr>
                <w:rFonts w:ascii="Times New Roman" w:hAnsi="Times New Roman" w:cs="Times New Roman"/>
                <w:color w:val="000000"/>
                <w:sz w:val="24"/>
                <w:szCs w:val="24"/>
                <w:lang w:eastAsia="uk-UA"/>
              </w:rPr>
              <w:br/>
              <w:t xml:space="preserve">Ч.ч.</w:t>
            </w:r>
            <w:r/>
          </w:p>
        </w:tc>
        <w:tc>
          <w:tcPr>
            <w:shd w:val="clear" w:color="auto" w:fill="auto"/>
            <w:tcW w:w="1523"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Шифр ресурсу</w:t>
            </w:r>
            <w:r/>
          </w:p>
        </w:tc>
        <w:tc>
          <w:tcPr>
            <w:shd w:val="clear" w:color="auto" w:fill="auto"/>
            <w:tcW w:w="4512"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Найменування </w:t>
            </w:r>
            <w:r/>
          </w:p>
        </w:tc>
        <w:tc>
          <w:tcPr>
            <w:shd w:val="clear" w:color="auto" w:fill="auto"/>
            <w:tcW w:w="1229"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 </w:t>
            </w:r>
            <w:r>
              <w:rPr>
                <w:rFonts w:ascii="Times New Roman" w:hAnsi="Times New Roman" w:cs="Times New Roman"/>
                <w:color w:val="000000"/>
                <w:sz w:val="24"/>
                <w:szCs w:val="24"/>
                <w:lang w:eastAsia="uk-UA"/>
              </w:rPr>
              <w:br/>
              <w:t xml:space="preserve">виміру</w:t>
            </w:r>
            <w:r/>
          </w:p>
        </w:tc>
        <w:tc>
          <w:tcPr>
            <w:shd w:val="clear" w:color="auto" w:fill="auto"/>
            <w:tcW w:w="1357" w:type="dxa"/>
            <w:vAlign w:val="center"/>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Кількість</w:t>
            </w:r>
            <w:r/>
          </w:p>
        </w:tc>
      </w:tr>
      <w:tr>
        <w:trPr>
          <w:trHeight w:val="1365"/>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308"/>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I. Витрати труда</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робітників-будівельників</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1168,02</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робіт, що виконуються </w:t>
            </w:r>
            <w:r>
              <w:rPr>
                <w:rFonts w:ascii="Times New Roman" w:hAnsi="Times New Roman" w:cs="Times New Roman"/>
                <w:color w:val="000000"/>
                <w:sz w:val="24"/>
                <w:szCs w:val="24"/>
                <w:lang w:eastAsia="uk-UA"/>
              </w:rPr>
              <w:br/>
              <w:t xml:space="preserve">робітниками-будівельниками</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shd w:val="clear" w:color="auto" w:fill="auto"/>
            <w:tcW w:w="451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робітників-монтажників</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vAlign w:val="center"/>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робіт, що виконуються</w:t>
            </w:r>
            <w:r>
              <w:rPr>
                <w:rFonts w:ascii="Times New Roman" w:hAnsi="Times New Roman" w:cs="Times New Roman"/>
                <w:color w:val="000000"/>
                <w:sz w:val="24"/>
                <w:szCs w:val="24"/>
                <w:lang w:eastAsia="uk-UA"/>
              </w:rPr>
              <w:br/>
              <w:t xml:space="preserve">робітниками-монтажниками</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W w:w="1357" w:type="dxa"/>
            <w:vAlign w:val="center"/>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 зайнятих</w:t>
            </w:r>
            <w:r>
              <w:rPr>
                <w:rFonts w:ascii="Times New Roman" w:hAnsi="Times New Roman" w:cs="Times New Roman"/>
                <w:color w:val="000000"/>
                <w:sz w:val="24"/>
                <w:szCs w:val="24"/>
                <w:lang w:eastAsia="uk-UA"/>
              </w:rPr>
              <w:br/>
              <w:t xml:space="preserve">керуванням та обслуговуванням машин</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183,29</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ланки робітників, зайнятих</w:t>
            </w:r>
            <w:r>
              <w:rPr>
                <w:rFonts w:ascii="Times New Roman" w:hAnsi="Times New Roman" w:cs="Times New Roman"/>
                <w:color w:val="000000"/>
                <w:sz w:val="24"/>
                <w:szCs w:val="24"/>
                <w:lang w:eastAsia="uk-UA"/>
              </w:rPr>
              <w:br/>
              <w:t xml:space="preserve">керуванням та обслуговуванням машин </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1088"/>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 зайнятих</w:t>
            </w:r>
            <w:r>
              <w:rPr>
                <w:rFonts w:ascii="Times New Roman" w:hAnsi="Times New Roman" w:cs="Times New Roman"/>
                <w:color w:val="000000"/>
                <w:sz w:val="24"/>
                <w:szCs w:val="24"/>
                <w:lang w:eastAsia="uk-UA"/>
              </w:rPr>
              <w:br/>
              <w:t xml:space="preserve">керуванням та обслуговуванням</w:t>
            </w:r>
            <w:r>
              <w:rPr>
                <w:rFonts w:ascii="Times New Roman" w:hAnsi="Times New Roman" w:cs="Times New Roman"/>
                <w:color w:val="000000"/>
                <w:sz w:val="24"/>
                <w:szCs w:val="24"/>
                <w:lang w:eastAsia="uk-UA"/>
              </w:rPr>
              <w:br/>
              <w:t xml:space="preserve">автотранспорту при перевезенні ґрунту і</w:t>
            </w:r>
            <w:r>
              <w:rPr>
                <w:rFonts w:ascii="Times New Roman" w:hAnsi="Times New Roman" w:cs="Times New Roman"/>
                <w:color w:val="000000"/>
                <w:sz w:val="24"/>
                <w:szCs w:val="24"/>
                <w:lang w:eastAsia="uk-UA"/>
              </w:rPr>
              <w:br/>
              <w:t xml:space="preserve">будівельного сміття</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57,01</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пусконалагоджувального</w:t>
            </w:r>
            <w:r>
              <w:rPr>
                <w:rFonts w:ascii="Times New Roman" w:hAnsi="Times New Roman" w:cs="Times New Roman"/>
                <w:color w:val="000000"/>
                <w:sz w:val="24"/>
                <w:szCs w:val="24"/>
                <w:lang w:eastAsia="uk-UA"/>
              </w:rPr>
              <w:br/>
              <w:t xml:space="preserve">персоналу</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vAlign w:val="center"/>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Витрати труда робітників, заробітна плата</w:t>
            </w:r>
            <w:r>
              <w:rPr>
                <w:rFonts w:ascii="Times New Roman" w:hAnsi="Times New Roman" w:cs="Times New Roman"/>
                <w:color w:val="000000"/>
                <w:sz w:val="24"/>
                <w:szCs w:val="24"/>
                <w:lang w:eastAsia="uk-UA"/>
              </w:rPr>
              <w:br/>
              <w:t xml:space="preserve">яких враховується в складі:</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9.1</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загальновиробничих витрат</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184,75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63"/>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9.2</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коштів на зведення та розбирання</w:t>
            </w:r>
            <w:r>
              <w:rPr>
                <w:rFonts w:ascii="Times New Roman" w:hAnsi="Times New Roman" w:cs="Times New Roman"/>
                <w:color w:val="000000"/>
                <w:sz w:val="24"/>
                <w:szCs w:val="24"/>
                <w:lang w:eastAsia="uk-UA"/>
              </w:rPr>
              <w:br/>
              <w:t xml:space="preserve">тимчасових будівель і споруд</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коштів на виконання будівельних робіт:</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9.3</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у зимовий період</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9.4</w:t>
            </w:r>
            <w:r/>
          </w:p>
        </w:tc>
        <w:tc>
          <w:tcPr>
            <w:shd w:val="clear" w:color="auto" w:fill="auto"/>
            <w:tcW w:w="1523"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у літній період</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W w:w="6035"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Разом  кошторисна трудомісткість</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люд.год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1593,07</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W w:w="603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W w:w="603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Середній розряд робіт</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розряд</w:t>
            </w:r>
            <w:r/>
          </w:p>
        </w:tc>
        <w:tc>
          <w:tcPr>
            <w:shd w:val="clear" w:color="auto" w:fill="auto"/>
            <w:tcW w:w="135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gridSpan w:val="2"/>
            <w:shd w:val="clear" w:color="auto" w:fill="auto"/>
            <w:tcW w:w="6035" w:type="dxa"/>
            <w:vAlign w:val="center"/>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308"/>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II. Будівельні машини і механізми</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КБМ201-410-1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Трактори на пневмоколісному ходу,</w:t>
            </w:r>
            <w:r>
              <w:rPr>
                <w:rFonts w:ascii="Times New Roman" w:hAnsi="Times New Roman" w:cs="Times New Roman"/>
                <w:color w:val="000000"/>
                <w:sz w:val="24"/>
                <w:szCs w:val="24"/>
                <w:lang w:eastAsia="uk-UA"/>
              </w:rPr>
              <w:br/>
              <w:t xml:space="preserve">потужність 122 кВт [166 к.с.]</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1,04535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КБМ202-1141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Крани на автомобільному ходу,</w:t>
            </w:r>
            <w:r>
              <w:rPr>
                <w:rFonts w:ascii="Times New Roman" w:hAnsi="Times New Roman" w:cs="Times New Roman"/>
                <w:color w:val="000000"/>
                <w:sz w:val="24"/>
                <w:szCs w:val="24"/>
                <w:lang w:eastAsia="uk-UA"/>
              </w:rPr>
              <w:br/>
              <w:t xml:space="preserve">вантажопідйомність 10 т</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2,34528</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КБМ205-101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Компресори пересувні з двигуном</w:t>
            </w:r>
            <w:r>
              <w:rPr>
                <w:rFonts w:ascii="Times New Roman" w:hAnsi="Times New Roman" w:cs="Times New Roman"/>
                <w:color w:val="000000"/>
                <w:sz w:val="24"/>
                <w:szCs w:val="24"/>
                <w:lang w:eastAsia="uk-UA"/>
              </w:rPr>
              <w:br/>
              <w:t xml:space="preserve">внутрішнього згоряння, тиск до 686 кПа [7ат], продуктивність 2,2 м3/хв</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49,154175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КБМ206-337</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Екскаватори одноковшеві дизельні на</w:t>
            </w:r>
            <w:r>
              <w:rPr>
                <w:rFonts w:ascii="Times New Roman" w:hAnsi="Times New Roman" w:cs="Times New Roman"/>
                <w:color w:val="000000"/>
                <w:sz w:val="24"/>
                <w:szCs w:val="24"/>
                <w:lang w:eastAsia="uk-UA"/>
              </w:rPr>
              <w:br/>
              <w:t xml:space="preserve">пневмоколісному ходу, місткість ковша 0,25 м3</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27,468696</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КБМ207-150</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Бульдозери, потужність 96 кВт [130 к.с.]</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10,90497</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КБМ212-906</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Котки дорожні самохідні вібраційні</w:t>
            </w:r>
            <w:r>
              <w:rPr>
                <w:rFonts w:ascii="Times New Roman" w:hAnsi="Times New Roman" w:cs="Times New Roman"/>
                <w:color w:val="000000"/>
                <w:sz w:val="24"/>
                <w:szCs w:val="24"/>
                <w:lang w:eastAsia="uk-UA"/>
              </w:rPr>
              <w:br/>
              <w:t xml:space="preserve">гладковальцеві, маса 8 т</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6,3024</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КБМ212-907</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Котки дорожні самохідні вібраційні</w:t>
            </w:r>
            <w:r>
              <w:rPr>
                <w:rFonts w:ascii="Times New Roman" w:hAnsi="Times New Roman" w:cs="Times New Roman"/>
                <w:color w:val="000000"/>
                <w:sz w:val="24"/>
                <w:szCs w:val="24"/>
                <w:lang w:eastAsia="uk-UA"/>
              </w:rPr>
              <w:br/>
              <w:t xml:space="preserve">гладковальцеві, маса 13 т</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42,0867</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КБМ212-1601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Машини поливально-мийні, місткість 6000 л</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8,65065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КБМ233-803</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Молотки відбійні пневматичні, при роботі від пересувних компресорних станцій</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98,30835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С311-15-М</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Перевезення сміття до 15 км</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254,52</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330"/>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85"/>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Будiвельнi машини, врахованi в складi</w:t>
            </w:r>
            <w:r>
              <w:rPr>
                <w:rFonts w:ascii="Times New Roman" w:hAnsi="Times New Roman" w:cs="Times New Roman"/>
                <w:color w:val="000000"/>
                <w:sz w:val="24"/>
                <w:szCs w:val="24"/>
                <w:u w:val="single"/>
                <w:lang w:eastAsia="uk-UA"/>
              </w:rPr>
              <w:br/>
              <w:t xml:space="preserve">загальновиробничих витрат</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c>
          <w:tcPr>
            <w:shd w:val="clear" w:color="auto" w:fill="auto"/>
            <w:tcW w:w="1523"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КБМ209-1400</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Розпушувачі причіпні [без трактора]</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2,683065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w:t>
            </w:r>
            <w:r/>
          </w:p>
        </w:tc>
        <w:tc>
          <w:tcPr>
            <w:shd w:val="clear" w:color="auto" w:fill="auto"/>
            <w:tcW w:w="1523"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КБМ212-500</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Гудронатори ручні</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0,909</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c>
          <w:tcPr>
            <w:shd w:val="clear" w:color="auto" w:fill="auto"/>
            <w:tcW w:w="1523"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КБМ270-150</w:t>
            </w:r>
            <w:r/>
          </w:p>
        </w:tc>
        <w:tc>
          <w:tcPr>
            <w:shd w:val="clear" w:color="auto" w:fill="auto"/>
            <w:tcW w:w="4512"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Киркувальник</w:t>
            </w:r>
            <w:r/>
          </w:p>
        </w:tc>
        <w:tc>
          <w:tcPr>
            <w:shd w:val="clear" w:color="auto" w:fill="auto"/>
            <w:tcW w:w="1229" w:type="dxa"/>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маш. год</w:t>
            </w:r>
            <w:r/>
          </w:p>
        </w:tc>
        <w:tc>
          <w:tcPr>
            <w:shd w:val="clear" w:color="auto" w:fill="auto"/>
            <w:tcW w:w="1357"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1,04535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585"/>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III. Будівельні матеріали, вироби і</w:t>
            </w:r>
            <w:r>
              <w:rPr>
                <w:rFonts w:ascii="Times New Roman" w:hAnsi="Times New Roman" w:cs="Times New Roman"/>
                <w:color w:val="000000"/>
                <w:sz w:val="24"/>
                <w:szCs w:val="24"/>
                <w:u w:val="single"/>
                <w:lang w:eastAsia="uk-UA"/>
              </w:rPr>
              <w:br/>
              <w:t xml:space="preserve">комплекти</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С111-181-1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Цвяхи будівельні з плоскою головкою 3х70 мм</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0,0698</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+С111-838</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Розчинник для лакофарбових матеріалів Р-4</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0,000875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С111-1561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Бітуми нафтові дорожні МГ і СГ, рідкі</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0,909</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С112-58</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Дошки обрізні з хвойних порід, довжина 4-6, 5 м, ширина 75-150 мм, товщина 32,40 мм, ІV сорт</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0,08376</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&amp;С1113-212-3</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Фарба для розмітки доріг АК-501</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кг</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2,94</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17"/>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+С1421-9452</w:t>
            </w:r>
            <w:r>
              <w:rPr>
                <w:rFonts w:ascii="Times New Roman" w:hAnsi="Times New Roman" w:cs="Times New Roman"/>
                <w:color w:val="000000"/>
                <w:sz w:val="24"/>
                <w:szCs w:val="24"/>
                <w:lang w:eastAsia="uk-UA"/>
              </w:rPr>
              <w:br/>
              <w:t xml:space="preserve">варіант 2</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Щебінь із природного каменю для</w:t>
            </w:r>
            <w:r>
              <w:rPr>
                <w:rFonts w:ascii="Times New Roman" w:hAnsi="Times New Roman" w:cs="Times New Roman"/>
                <w:color w:val="000000"/>
                <w:sz w:val="24"/>
                <w:szCs w:val="24"/>
                <w:lang w:eastAsia="uk-UA"/>
              </w:rPr>
              <w:br/>
              <w:t xml:space="preserve">будівельних робіт, фракція 0-40 мм, марка</w:t>
            </w:r>
            <w:r>
              <w:rPr>
                <w:rFonts w:ascii="Times New Roman" w:hAnsi="Times New Roman" w:cs="Times New Roman"/>
                <w:color w:val="000000"/>
                <w:sz w:val="24"/>
                <w:szCs w:val="24"/>
                <w:lang w:eastAsia="uk-UA"/>
              </w:rPr>
              <w:br/>
              <w:t xml:space="preserve">М800</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156,348</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420"/>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330"/>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+С1421-9840</w:t>
            </w:r>
            <w:r>
              <w:rPr>
                <w:rFonts w:ascii="Times New Roman" w:hAnsi="Times New Roman" w:cs="Times New Roman"/>
                <w:color w:val="000000"/>
                <w:sz w:val="24"/>
                <w:szCs w:val="24"/>
                <w:lang w:eastAsia="uk-UA"/>
              </w:rPr>
              <w:br/>
              <w:t xml:space="preserve">варіант 1</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Суміші асфальтобетонні гарячі і теплі,</w:t>
            </w:r>
            <w:r>
              <w:rPr>
                <w:rFonts w:ascii="Times New Roman" w:hAnsi="Times New Roman" w:cs="Times New Roman"/>
                <w:color w:val="000000"/>
                <w:sz w:val="24"/>
                <w:szCs w:val="24"/>
                <w:lang w:eastAsia="uk-UA"/>
              </w:rPr>
              <w:br/>
              <w:t xml:space="preserve">дрібнозернисті, тип В, марка 1</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254,823</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С1421-10634</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Пісок природний, рядовий</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7,575</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&amp;С1424-</w:t>
            </w:r>
            <w:r>
              <w:rPr>
                <w:rFonts w:ascii="Times New Roman" w:hAnsi="Times New Roman" w:cs="Times New Roman"/>
                <w:color w:val="000000"/>
                <w:sz w:val="24"/>
                <w:szCs w:val="24"/>
                <w:lang w:eastAsia="uk-UA"/>
              </w:rPr>
              <w:br/>
              <w:t xml:space="preserve">11600-28</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Суміші бетонні готові важкі, клас бетону В15 [М200]</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8,2364</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С1425-11683</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Розчин готовий кладковий важкий</w:t>
            </w:r>
            <w:r>
              <w:rPr>
                <w:rFonts w:ascii="Times New Roman" w:hAnsi="Times New Roman" w:cs="Times New Roman"/>
                <w:color w:val="000000"/>
                <w:sz w:val="24"/>
                <w:szCs w:val="24"/>
                <w:lang w:eastAsia="uk-UA"/>
              </w:rPr>
              <w:br/>
              <w:t xml:space="preserve">цементний, марка М100</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м3</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0,08376</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r>
        <w:trPr>
          <w:trHeight w:val="297"/>
        </w:trPr>
        <w:tc>
          <w:tcPr>
            <w:shd w:val="clear" w:color="auto" w:fill="auto"/>
            <w:tcW w:w="6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523"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45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122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shd w:val="clear" w:color="auto" w:fill="auto"/>
            <w:tcW w:w="13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5"/>
        </w:trPr>
        <w:tc>
          <w:tcPr>
            <w:shd w:val="clear" w:color="auto" w:fill="auto"/>
            <w:tcW w:w="61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c>
          <w:tcPr>
            <w:shd w:val="clear" w:color="auto" w:fill="auto"/>
            <w:tcW w:w="1523"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&amp;С1545-13-23</w:t>
            </w:r>
            <w:r/>
          </w:p>
        </w:tc>
        <w:tc>
          <w:tcPr>
            <w:shd w:val="clear" w:color="auto" w:fill="auto"/>
            <w:tcW w:w="4512" w:type="dxa"/>
            <w:vMerge w:val="restart"/>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Приймання, зберігання та захоронення ТВ</w:t>
            </w:r>
            <w:r/>
          </w:p>
        </w:tc>
        <w:tc>
          <w:tcPr>
            <w:shd w:val="clear" w:color="auto" w:fill="auto"/>
            <w:tcW w:w="1229" w:type="dxa"/>
            <w:vMerge w:val="restart"/>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w:t>
            </w:r>
            <w:r/>
          </w:p>
        </w:tc>
        <w:tc>
          <w:tcPr>
            <w:shd w:val="clear" w:color="auto" w:fill="auto"/>
            <w:tcW w:w="1357" w:type="dxa"/>
            <w:vMerge w:val="restart"/>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254,52</w:t>
            </w:r>
            <w:r/>
          </w:p>
        </w:tc>
        <w:tc>
          <w:tcPr>
            <w:tcW w:w="236"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r>
      <w:tr>
        <w:trPr>
          <w:trHeight w:val="289"/>
        </w:trPr>
        <w:tc>
          <w:tcPr>
            <w:tcW w:w="61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523"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4512"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229"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tcW w:w="1357" w:type="dxa"/>
            <w:vAlign w:val="center"/>
            <w:vMerge w:val="continue"/>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c>
          <w:tcPr>
            <w:shd w:val="clear" w:color="auto" w:fill="auto"/>
            <w:tcW w:w="236" w:type="dxa"/>
            <w:vAlign w:val="bottom"/>
            <w:textDirection w:val="lrTb"/>
            <w:noWrap/>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r>
            <w:r/>
          </w:p>
        </w:tc>
      </w:tr>
    </w:tbl>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lang w:eastAsia="uk-UA"/>
        </w:rPr>
        <w:t xml:space="preserve">Кошторисна документація має бути розрахована та виконана згідно </w:t>
      </w:r>
      <w:r>
        <w:rPr>
          <w:rFonts w:ascii="Times New Roman" w:hAnsi="Times New Roman" w:cs="Times New Roman"/>
          <w:sz w:val="24"/>
          <w:szCs w:val="24"/>
          <w:lang w:eastAsia="uk-UA"/>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rFonts w:ascii="Times New Roman" w:hAnsi="Times New Roman" w:cs="Times New Roman"/>
          <w:color w:val="000000"/>
          <w:sz w:val="24"/>
          <w:szCs w:val="24"/>
          <w:lang w:eastAsia="uk-UA"/>
        </w:rPr>
        <w:t xml:space="preserve">у складі:</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lang w:eastAsia="uk-UA"/>
        </w:rPr>
        <w:t xml:space="preserve">- договірна ціна;</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lang w:eastAsia="uk-UA"/>
        </w:rPr>
        <w:t xml:space="preserve">- локальні кошториси;</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підсумкова відомість ресурсів до зведеного кошторисного розрахунку вартості будівництва.</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Кошторисні розрахунки пропозиції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Учасника мають відповідати всім вимогам та показникам, зазначених у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цьому Додатку та в інших розділах тендерної документації,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в тому числі: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в частині розрахунків кількісних показників витрат труда р</w:t>
      </w:r>
      <w:r>
        <w:rPr>
          <w:rFonts w:ascii="Times New Roman" w:hAnsi="Times New Roman" w:cs="Times New Roman"/>
          <w:sz w:val="24"/>
          <w:szCs w:val="24"/>
        </w:rPr>
        <w:t xml:space="preserve">обітників; кількісних показників кошторисної трудомісткість, кількісних показників середнього розряду робіт; будівельних матеріалів, виробів і комплектів; будівельних машин і механізмів та інших показників . У складі пропозиції додатково надати кошторис в </w:t>
      </w:r>
      <w:r>
        <w:rPr>
          <w:rFonts w:ascii="Times New Roman" w:hAnsi="Times New Roman" w:cs="Times New Roman"/>
          <w:sz w:val="24"/>
          <w:szCs w:val="24"/>
          <w:lang w:val="ru-RU"/>
        </w:rPr>
        <w:t xml:space="preserve">imd</w:t>
      </w:r>
      <w:r>
        <w:rPr>
          <w:rFonts w:ascii="Times New Roman" w:hAnsi="Times New Roman" w:cs="Times New Roman"/>
          <w:sz w:val="24"/>
          <w:szCs w:val="24"/>
        </w:rPr>
        <w:t xml:space="preserve"> форматі або іншому форматі, що повинен узгоджуватися з наданими кошторисними розрахунками у форматі </w:t>
      </w:r>
      <w:r>
        <w:rPr>
          <w:rFonts w:ascii="Times New Roman" w:hAnsi="Times New Roman" w:cs="Times New Roman"/>
          <w:sz w:val="24"/>
          <w:szCs w:val="24"/>
          <w:lang w:val="ru-RU"/>
        </w:rPr>
        <w:t xml:space="preserve">pdf</w:t>
      </w:r>
      <w:r>
        <w:rPr>
          <w:rFonts w:ascii="Times New Roman" w:hAnsi="Times New Roman" w:cs="Times New Roman"/>
          <w:sz w:val="24"/>
          <w:szCs w:val="24"/>
        </w:rPr>
        <w:t xml:space="preserve">, при цьому надані документи повинні повністю узгоджуватись між собою в частині розрахунків кількісних показників, витрат труда робітників; кількісних показників кошторисної трудомісткість, кіл</w:t>
      </w:r>
      <w:r>
        <w:rPr>
          <w:rFonts w:ascii="Times New Roman" w:hAnsi="Times New Roman" w:cs="Times New Roman"/>
          <w:sz w:val="24"/>
          <w:szCs w:val="24"/>
        </w:rPr>
        <w:t xml:space="preserve">ькісних показників середнього розряду робіт; будівельних матеріалів, виробів і комплектів; устаткування; будівельних машин і механізмів та інших показників (в т.ч. їх кількості), передбачених у підсумковій відомості ресурсів та інших вимогах цього Додатку.</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sz w:val="24"/>
          <w:szCs w:val="24"/>
          <w:lang w:val="ru-RU"/>
        </w:rPr>
        <w:t xml:space="preserve"> або аналогу</w:t>
      </w:r>
      <w:r>
        <w:rPr>
          <w:rFonts w:ascii="Times New Roman" w:hAnsi="Times New Roman" w:cs="Times New Roman"/>
          <w:sz w:val="24"/>
          <w:szCs w:val="24"/>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послуги,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надання послуги, Учаснику необхідно передбачити та внести в ціну тендерної пропозиції. (за </w:t>
      </w:r>
      <w:r>
        <w:rPr>
          <w:rFonts w:ascii="Times New Roman" w:hAnsi="Times New Roman" w:cs="Times New Roman"/>
          <w:sz w:val="24"/>
          <w:szCs w:val="24"/>
        </w:rPr>
        <w:t xml:space="preserve">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надати послуги знаходиться за адресою: м. Київ, вул. Титова, 18.</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надання послуги,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у складі пропозиції надати лист щодо підтвердження надання послуги з відновлення асфальтобетонного покриття без отримання авансового платежу.</w:t>
      </w:r>
      <w:r/>
    </w:p>
    <w:p>
      <w:pPr>
        <w:ind w:firstLine="567"/>
        <w:jc w:val="both"/>
        <w:spacing w:after="0"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w:t>
      </w:r>
      <w:r>
        <w:rPr>
          <w:rFonts w:ascii="Times New Roman" w:hAnsi="Times New Roman" w:cs="Times New Roman"/>
          <w:sz w:val="24"/>
          <w:szCs w:val="24"/>
        </w:rPr>
        <w:t xml:space="preserve">предмета закупівлі, встановленим Замовником (надати гарантійний лист) та </w:t>
      </w:r>
      <w:r>
        <w:rPr>
          <w:rFonts w:ascii="Times New Roman" w:hAnsi="Times New Roman" w:eastAsia="SimSun" w:cs="Times New Roman"/>
          <w:sz w:val="24"/>
          <w:szCs w:val="24"/>
          <w:lang w:eastAsia="uk-UA"/>
        </w:rPr>
        <w:t xml:space="preserve">гарантійний лист</w:t>
      </w:r>
      <w:r>
        <w:rPr>
          <w:rFonts w:ascii="Times New Roman" w:hAnsi="Times New Roman" w:eastAsia="SimSun" w:cs="Times New Roman"/>
          <w:sz w:val="24"/>
          <w:szCs w:val="24"/>
          <w:lang w:eastAsia="uk-UA"/>
        </w:rPr>
        <w:t xml:space="preserve">, в якому учасник гарантує замовнику надати послуги якісно у кількості та в терміни, встановлені замовником, а також необхідно зазначити, що матеріали та вироби, від яких залежить якість наданих послуг, будуть відповідати вимогам нормативно-правових актів.</w:t>
      </w:r>
      <w:r/>
    </w:p>
    <w:p>
      <w:pPr>
        <w:ind w:firstLine="461"/>
        <w:jc w:val="both"/>
        <w:spacing w:after="0" w:line="240" w:lineRule="auto"/>
        <w:tabs>
          <w:tab w:val="left" w:pos="1080"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підтвердження зазначеного Учасник має надати: завірену копію ліцензії на здійснення господарської діяльності, пов’язаної із створенням об’єктів архітектури з додатком (яка чинна щонайменше до 01.05.2024); </w:t>
      </w:r>
      <w:r>
        <w:rPr>
          <w:rFonts w:ascii="Times New Roman" w:hAnsi="Times New Roman" w:cs="Times New Roman"/>
          <w:sz w:val="24"/>
          <w:szCs w:val="24"/>
        </w:rPr>
        <w:t xml:space="preserve">(підтвердження даної інформації перевірятиметься у реєстрі, доступ до якого є вільним)</w:t>
      </w:r>
      <w:r/>
    </w:p>
    <w:p>
      <w:pPr>
        <w:jc w:val="both"/>
        <w:spacing w:after="0" w:line="240" w:lineRule="auto"/>
        <w:tabs>
          <w:tab w:val="left" w:pos="1080" w:leader="none"/>
        </w:tabs>
        <w:rPr>
          <w:rFonts w:ascii="Times New Roman" w:hAnsi="Times New Roman" w:cs="Times New Roman"/>
          <w:sz w:val="24"/>
          <w:szCs w:val="24"/>
        </w:rPr>
      </w:pPr>
      <w:r>
        <w:rPr>
          <w:rFonts w:ascii="Times New Roman" w:hAnsi="Times New Roman" w:cs="Times New Roman"/>
          <w:sz w:val="24"/>
          <w:szCs w:val="24"/>
          <w:lang w:eastAsia="uk-UA"/>
        </w:rPr>
        <w:t xml:space="preserve">-  завірена копія дозволу на виконання робіт підвищеної небезпеки (який чинний щонайменше до 01.05.2024); </w:t>
      </w:r>
      <w:r>
        <w:rPr>
          <w:rFonts w:ascii="Times New Roman" w:hAnsi="Times New Roman" w:cs="Times New Roman"/>
          <w:sz w:val="24"/>
          <w:szCs w:val="24"/>
        </w:rPr>
        <w:t xml:space="preserve">(підтвердження даної інформації перевірятиметься у реєстрі, доступ до якого є вільним)</w:t>
      </w:r>
      <w:r/>
    </w:p>
    <w:p>
      <w:pPr>
        <w:ind w:right="-1"/>
        <w:jc w:val="both"/>
        <w:spacing w:after="0" w:line="240" w:lineRule="auto"/>
        <w:widowControl w:val="o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посвідчення виконавців робіт підвищеної небезпеки (роботи на висоті, газополум’яні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01.05.2024).</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1 828 202,29</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вісімсот двадцять вісім тисяч двісті дві гривні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29</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поданих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table" w:styleId="773" w:customStyle="1">
    <w:name w:val="Сітка таблиці2"/>
    <w:basedOn w:val="732"/>
    <w:next w:val="73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 Id="rId12" Type="http://schemas.openxmlformats.org/officeDocument/2006/relationships/hyperlink" Target="https://www.dzo.com.ua/tenders/1722718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2024-08-10T08:33:21Z</dcterms:modified>
</cp:coreProperties>
</file>