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06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pacing w:val="1"/>
          <w:sz w:val="24"/>
          <w:szCs w:val="24"/>
        </w:rPr>
        <w:t xml:space="preserve">Послуги з доступу до мережі Інтернет з захищеного вузла за код ДК 021:2015 72410000-7 «Послуги провайдерів»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20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022654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  <w:lang w:eastAsia="uk-UA"/>
        </w:rPr>
        <w:t xml:space="preserve">Послуги з доступу до мережі Інтернет з захищеного вузла за код ДК 021:2015 72410000-7 «Послуги провайдерів»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/>
      <w:bookmarkStart w:id="0" w:name="_Hlk133583335"/>
      <w:r/>
      <w:bookmarkEnd w:id="0"/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ІНФОРМАЦІЯ ПРО НЕОБХІДНІ ТЕХНІЧНІ, ЯКІСНІ ТА КІЛЬКІСНІ ХАРАКТЕРИСТИКИ ПРЕДМЕТА ЗАКУПІВЛІ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</w:r>
      <w:r/>
    </w:p>
    <w:p>
      <w:pPr>
        <w:jc w:val="center"/>
        <w:spacing w:after="0"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pacing w:val="1"/>
          <w:sz w:val="24"/>
          <w:szCs w:val="24"/>
          <w:lang w:eastAsia="uk-UA"/>
        </w:rPr>
        <w:t xml:space="preserve">Послуги з доступу до мережі Інтернет з захищеного вузла за код ДК 021:2015 72410000-7 «Послуги провайдерів»</w:t>
      </w:r>
      <w:r/>
    </w:p>
    <w:tbl>
      <w:tblPr>
        <w:tblW w:w="96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865"/>
        <w:gridCol w:w="6363"/>
        <w:gridCol w:w="1254"/>
        <w:gridCol w:w="1148"/>
      </w:tblGrid>
      <w:tr>
        <w:trPr>
          <w:trHeight w:val="3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робіт і витрат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Доступ до мережі Інтернет з захищеного вузла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</w:t>
            </w:r>
            <w:bookmarkStart w:id="1" w:name="_Hlk141705619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Чернівецька обл., м. Хотин, вул. Козацької Слави, 4-А</w:t>
            </w:r>
            <w:bookmarkEnd w:id="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Доступ до мережі Інтернет з захищеного вузла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(Івано-Франківська обл., м. Івано-Франківськ, вул. Богдана Хмельницького, 92-А)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12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ТЕХНІЧНА СПЕЦИФІКАЦІЯ</w:t>
      </w:r>
      <w:r/>
    </w:p>
    <w:p>
      <w:pPr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sz w:val="24"/>
          <w:szCs w:val="24"/>
          <w:lang w:val="ru-RU" w:eastAsia="ru-RU"/>
        </w:rPr>
      </w:r>
      <w:r/>
    </w:p>
    <w:p>
      <w:pPr>
        <w:ind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</w:t>
      </w:r>
      <w:r>
        <w:rPr>
          <w:rFonts w:ascii="Times New Roman" w:hAnsi="Times New Roman" w:eastAsia="Arial Unicode MS" w:cs="Times New Roman"/>
          <w:sz w:val="24"/>
          <w:szCs w:val="24"/>
        </w:rPr>
        <w:t xml:space="preserve"> Послуги надання каналів </w:t>
      </w:r>
      <w:r>
        <w:rPr>
          <w:rFonts w:ascii="Times New Roman" w:hAnsi="Times New Roman" w:eastAsia="Arial Unicode MS" w:cs="Times New Roman"/>
          <w:sz w:val="24"/>
          <w:szCs w:val="24"/>
        </w:rPr>
        <w:t xml:space="preserve">звʼязку</w:t>
      </w:r>
      <w:r>
        <w:rPr>
          <w:rFonts w:ascii="Times New Roman" w:hAnsi="Times New Roman" w:eastAsia="Arial Unicode MS" w:cs="Times New Roman"/>
          <w:sz w:val="24"/>
          <w:szCs w:val="24"/>
        </w:rPr>
        <w:t xml:space="preserve"> через електронні комунікаційні мережі (далі – Послуги) надаються відповідно до Закону України «Про електронні комунікації», Правил надання та отримання телекомунікаційних послуг, затверджених постановою Кабінету Міністрів України від 11.</w:t>
      </w:r>
      <w:r>
        <w:rPr>
          <w:rFonts w:ascii="Times New Roman" w:hAnsi="Times New Roman" w:eastAsia="Arial Unicode MS" w:cs="Times New Roman"/>
          <w:sz w:val="24"/>
          <w:szCs w:val="24"/>
        </w:rPr>
        <w:t xml:space="preserve">04.2012 № 295, наказу Адміністрації Державної служби спеціального зв’язку та захисту інформації України від 28.12.2012 № 803 та інших нормативно-правових актів України у сфері телекомунікацій та забезпечують цілодобове надання Послуг на всіх вузлах мережі.</w:t>
      </w:r>
      <w:r/>
    </w:p>
    <w:p>
      <w:pPr>
        <w:ind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ascii="Times New Roman" w:hAnsi="Times New Roman" w:eastAsia="Arial Unicode MS" w:cs="Times New Roman"/>
          <w:sz w:val="24"/>
          <w:szCs w:val="24"/>
        </w:rPr>
        <w:t xml:space="preserve">1.1.1. Під наданням Послуги  Сторони погодились розуміти наступні дії: 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а) підключення каналів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звʼязку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за адресами, що вказані у цьому Додатку, включаючи встановлення обладнання при необхідності (надалі «підключення каналів»);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б)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термін підключення не пізніше однієї доби з моменту підписання договору;</w:t>
      </w:r>
      <w:r/>
    </w:p>
    <w:p>
      <w:pPr>
        <w:jc w:val="both"/>
        <w:spacing w:after="0" w:line="240" w:lineRule="auto"/>
        <w:tabs>
          <w:tab w:val="num" w:pos="5699" w:leader="none"/>
        </w:tabs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в) надання транспортних мереж (</w:t>
      </w:r>
      <w:r>
        <w:rPr>
          <w:rFonts w:ascii="Times New Roman" w:hAnsi="Times New Roman" w:cs="Times New Roman"/>
          <w:sz w:val="24"/>
          <w:szCs w:val="24"/>
          <w:lang w:val="en-US" w:eastAsia="ar-SA"/>
        </w:rPr>
        <w:t xml:space="preserve">vlan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) через електронні комунікаційні мережі зі вказаною швидкістю передачі даних (надалі – «надання доступу до каналів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звʼязку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»).</w:t>
      </w:r>
      <w:r/>
    </w:p>
    <w:p>
      <w:pPr>
        <w:ind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eastAsia="Arial Unicode MS" w:cs="Times New Roman"/>
          <w:sz w:val="24"/>
          <w:szCs w:val="24"/>
          <w:lang w:eastAsia="ru-RU"/>
        </w:rPr>
      </w:pPr>
      <w:r>
        <w:rPr>
          <w:rFonts w:ascii="Times New Roman" w:hAnsi="Times New Roman" w:eastAsia="Arial Unicode MS" w:cs="Times New Roman"/>
          <w:sz w:val="24"/>
          <w:szCs w:val="24"/>
        </w:rPr>
        <w:t xml:space="preserve">1.2. Зона відповідальності Оператора при наданні Послуг – до інтерфейсу локального мережевого обладнання Замовника у кожній точці підключення каналів. Відповідно, все </w:t>
      </w:r>
      <w:r>
        <w:rPr>
          <w:rFonts w:ascii="Times New Roman" w:hAnsi="Times New Roman" w:eastAsia="Arial Unicode MS" w:cs="Times New Roman"/>
          <w:sz w:val="24"/>
          <w:szCs w:val="24"/>
        </w:rPr>
        <w:t xml:space="preserve">обладнання, включаючи кабелі до інтерфейсу локального мережевого обладнання вузлів мережі, надається, встановлюється та обслуговується Оператором в рамках надання Послуг.</w:t>
      </w:r>
      <w:r/>
    </w:p>
    <w:p>
      <w:pPr>
        <w:ind w:firstLine="567"/>
        <w:jc w:val="both"/>
        <w:spacing w:after="0" w:line="240" w:lineRule="auto"/>
        <w:tabs>
          <w:tab w:val="left" w:pos="851" w:leader="none"/>
        </w:tabs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ascii="Times New Roman" w:hAnsi="Times New Roman" w:eastAsia="Arial Unicode MS" w:cs="Times New Roman"/>
          <w:sz w:val="24"/>
          <w:szCs w:val="24"/>
        </w:rPr>
        <w:t xml:space="preserve">1.2.1. Під час надання Послуг Оператор має право використовувати власні електронні комунікаційні мережі або орендовані електронні комунікаційні мережі, що належать третім особам, гарантуючи при цьому якість надання Послуг однакового рівня.</w:t>
      </w:r>
      <w:r/>
    </w:p>
    <w:p>
      <w:pPr>
        <w:ind w:firstLine="567"/>
        <w:jc w:val="both"/>
        <w:spacing w:after="0" w:line="240" w:lineRule="auto"/>
        <w:tabs>
          <w:tab w:val="left" w:pos="426" w:leader="none"/>
        </w:tabs>
        <w:rPr>
          <w:rFonts w:ascii="Times New Roman" w:hAnsi="Times New Roman" w:eastAsia="Arial Unicode MS" w:cs="Times New Roman"/>
          <w:sz w:val="24"/>
          <w:szCs w:val="24"/>
        </w:rPr>
      </w:pPr>
      <w:r>
        <w:rPr>
          <w:rFonts w:ascii="Times New Roman" w:hAnsi="Times New Roman" w:eastAsia="Arial Unicode MS" w:cs="Times New Roman"/>
          <w:sz w:val="24"/>
          <w:szCs w:val="24"/>
        </w:rPr>
        <w:t xml:space="preserve">1.3. Технічні характеристики Послуг,  відповідають наступним вимогам:</w:t>
      </w:r>
      <w:r/>
    </w:p>
    <w:p>
      <w:pPr>
        <w:ind w:firstLine="567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1.3.1. Адреси підключень, технічні характеристики, </w:t>
      </w:r>
      <w:r>
        <w:rPr>
          <w:rFonts w:ascii="Times New Roman" w:hAnsi="Times New Roman" w:cs="Times New Roman"/>
          <w:bCs/>
          <w:sz w:val="24"/>
          <w:szCs w:val="24"/>
        </w:rPr>
        <w:t xml:space="preserve">вимоги до Послуг</w:t>
      </w:r>
      <w:r>
        <w:rPr>
          <w:rFonts w:ascii="Times New Roman" w:hAnsi="Times New Roman" w:cs="Times New Roman"/>
          <w:sz w:val="24"/>
          <w:szCs w:val="24"/>
        </w:rPr>
        <w:t xml:space="preserve"> вказані в Таблицях 1-2 цього Додатку.</w:t>
      </w:r>
      <w:r/>
    </w:p>
    <w:p>
      <w:pPr>
        <w:ind w:firstLine="567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1.3.2. Оператор гарантує технічну підтримку Послуг відповідно до розділів 1 та 3 цього Додатку. </w:t>
      </w:r>
      <w:r/>
    </w:p>
    <w:p>
      <w:pPr>
        <w:jc w:val="center"/>
        <w:spacing w:before="120" w:after="0" w:line="240" w:lineRule="auto"/>
        <w:tabs>
          <w:tab w:val="left" w:pos="300" w:leader="none"/>
          <w:tab w:val="left" w:pos="1020" w:leader="none"/>
          <w:tab w:val="left" w:pos="1740" w:leader="none"/>
          <w:tab w:val="left" w:pos="2460" w:leader="none"/>
          <w:tab w:val="left" w:pos="3180" w:leader="none"/>
          <w:tab w:val="left" w:pos="3900" w:leader="none"/>
          <w:tab w:val="left" w:pos="4620" w:leader="none"/>
          <w:tab w:val="left" w:pos="5340" w:leader="none"/>
          <w:tab w:val="left" w:pos="6060" w:leader="none"/>
          <w:tab w:val="left" w:pos="6780" w:leader="none"/>
          <w:tab w:val="left" w:pos="7500" w:leader="none"/>
          <w:tab w:val="left" w:pos="8220" w:leader="none"/>
          <w:tab w:val="left" w:pos="8940" w:leader="none"/>
          <w:tab w:val="left" w:pos="9660" w:leader="none"/>
          <w:tab w:val="left" w:pos="10380" w:leader="none"/>
          <w:tab w:val="left" w:pos="11100" w:leader="none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Місце надання послуг</w:t>
      </w:r>
      <w:r/>
    </w:p>
    <w:p>
      <w:pPr>
        <w:ind w:right="479"/>
        <w:jc w:val="right"/>
        <w:spacing w:after="0" w:line="240" w:lineRule="auto"/>
        <w:tabs>
          <w:tab w:val="left" w:pos="9781" w:leader="none"/>
        </w:tabs>
        <w:rPr>
          <w:rFonts w:ascii="Times New Roman" w:hAnsi="Times New Roman" w:cs="Times New Roman"/>
          <w:i/>
          <w:sz w:val="24"/>
          <w:szCs w:val="24"/>
        </w:rPr>
        <w:outlineLvl w:val="0"/>
      </w:pPr>
      <w:r>
        <w:rPr>
          <w:rFonts w:ascii="Times New Roman" w:hAnsi="Times New Roman" w:cs="Times New Roman"/>
          <w:i/>
          <w:sz w:val="24"/>
          <w:szCs w:val="24"/>
        </w:rPr>
        <w:t xml:space="preserve">Таблиця 1</w:t>
      </w:r>
      <w:r/>
    </w:p>
    <w:tbl>
      <w:tblPr>
        <w:tblW w:w="9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3114"/>
        <w:gridCol w:w="3626"/>
        <w:gridCol w:w="1863"/>
      </w:tblGrid>
      <w:tr>
        <w:trPr>
          <w:jc w:val="center"/>
          <w:trHeight w:val="892"/>
        </w:trPr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з/п</w:t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Адреса надання послуги</w:t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2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Адреса точки підключення</w:t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Ємність каналу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Гбіт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\с</w:t>
            </w:r>
            <w:r/>
          </w:p>
        </w:tc>
      </w:tr>
      <w:tr>
        <w:trPr>
          <w:jc w:val="center"/>
          <w:trHeight w:val="2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Чернівецький р-н,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м.Хотин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2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Чернівці, 29 Березня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6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1,0</w:t>
            </w:r>
            <w:r/>
          </w:p>
        </w:tc>
      </w:tr>
      <w:tr>
        <w:trPr>
          <w:jc w:val="center"/>
          <w:trHeight w:val="2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1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2" w:type="dxa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Івано-Франківськ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23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м. Хотин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62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0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r>
      <w:r/>
    </w:p>
    <w:p>
      <w:pPr>
        <w:ind w:right="479"/>
        <w:jc w:val="center"/>
        <w:spacing w:before="120"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outlineLvl w:val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Технічні характеристики та вимоги до Послуг</w:t>
      </w:r>
      <w:r/>
    </w:p>
    <w:p>
      <w:pPr>
        <w:ind w:right="479"/>
        <w:jc w:val="right"/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  <w:outlineLvl w:val="0"/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Таблиця 2</w:t>
      </w:r>
      <w:r/>
    </w:p>
    <w:tbl>
      <w:tblPr>
        <w:tblW w:w="9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238"/>
        <w:gridCol w:w="4677"/>
      </w:tblGrid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 характеристики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Технічні дані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каналу зв’язку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2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L2 VLAN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TCP MTU 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2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1500 b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Media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MTU 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MTU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discovery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tabs>
                <w:tab w:val="left" w:pos="7020" w:leader="none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1518 b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Пропускна здатність каналу, коефіцієнт переданих пакетів, у % (не менше)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99 %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Інтерфейс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10G BASE-LR</w:t>
            </w:r>
            <w:r/>
          </w:p>
        </w:tc>
      </w:tr>
      <w:tr>
        <w:trPr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0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затримки передачі сигналу між двома точками мережі (ICMP RTT) не більше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мс</w:t>
            </w:r>
            <w:r/>
          </w:p>
        </w:tc>
      </w:tr>
      <w:tr>
        <w:trPr>
          <w:jc w:val="center"/>
          <w:trHeight w:val="30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0" w:type="dxa"/>
            <w:vAlign w:val="center"/>
            <w:textDirection w:val="lrTb"/>
            <w:noWrap w:val="false"/>
          </w:tcPr>
          <w:p>
            <w:pPr>
              <w:ind w:left="6" w:right="-5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Технічна підтримка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Цілодобово, яка включає в себе постійний моніторинг каналів та діагностику причини відхилення від заданих технічних характеристик</w:t>
            </w:r>
            <w:r/>
          </w:p>
        </w:tc>
      </w:tr>
      <w:tr>
        <w:trPr>
          <w:jc w:val="center"/>
          <w:trHeight w:val="30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40" w:type="dxa"/>
            <w:textDirection w:val="lrTb"/>
            <w:noWrap w:val="false"/>
          </w:tcPr>
          <w:p>
            <w:pPr>
              <w:ind w:left="6" w:right="-51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Режим надання Послуг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67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  <w:outlineLv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години на добу, 7 днів на тиждень</w:t>
            </w:r>
            <w:r/>
          </w:p>
        </w:tc>
      </w:tr>
    </w:tbl>
    <w:p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Вимоги каналу: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       Гарантований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QoS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всьому L2 VLAN;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       Надійність каналу не нижче 99,5%;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       На L2 VLAN заборонені NAT, L3, підміна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нумерації VLAN,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туннелювання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       Втрата пакетів повинна складати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більше 10 -5;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       Надати списки блоків вільних VLAN-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ів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всій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трассі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проходжения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формування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таблиці VLAN-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ів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для мережи IP/MPLS;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       В кожному з VLAN-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ів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повинно знаходитись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від 10 до 29 підключених адрес.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Доступність Послуг та умови рівня якості їх надання</w:t>
      </w:r>
      <w:r/>
    </w:p>
    <w:p>
      <w:pPr>
        <w:ind w:firstLine="567"/>
        <w:jc w:val="both"/>
        <w:spacing w:after="0" w:line="240" w:lineRule="auto"/>
        <w:tabs>
          <w:tab w:val="left" w:pos="100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Послуги вважаються доступними та якісними, якщо вони відповідають вимогам, приведеним у Таблицях 1-2 цього Додатку та якості, що визначається у відповідності до положень чинного законодавства України.</w:t>
      </w:r>
      <w:r/>
    </w:p>
    <w:p>
      <w:pPr>
        <w:ind w:firstLine="567"/>
        <w:jc w:val="both"/>
        <w:spacing w:after="0" w:line="240" w:lineRule="auto"/>
        <w:tabs>
          <w:tab w:val="left" w:pos="100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Послуги можуть бути тимчасово недоступні внаслідок проведення планованих робіт (надалі – «Планові роботи») Оператором або виникнення аварійних ситуацій з різних причин.</w:t>
      </w:r>
      <w:r/>
    </w:p>
    <w:p>
      <w:pPr>
        <w:ind w:firstLine="567"/>
        <w:jc w:val="both"/>
        <w:spacing w:after="0" w:line="240" w:lineRule="auto"/>
        <w:tabs>
          <w:tab w:val="left" w:pos="100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Проведення Планових робіт призводить до запланованої недоступності Послуг (надалі – «ЗНП»).</w:t>
      </w:r>
      <w:r/>
    </w:p>
    <w:p>
      <w:pPr>
        <w:ind w:firstLine="567"/>
        <w:jc w:val="both"/>
        <w:spacing w:after="0" w:line="240" w:lineRule="auto"/>
        <w:tabs>
          <w:tab w:val="left" w:pos="100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Вимоги щодо ЗНП:</w:t>
      </w:r>
      <w:r/>
    </w:p>
    <w:p>
      <w:pPr>
        <w:ind w:firstLine="567"/>
        <w:jc w:val="both"/>
        <w:spacing w:after="0" w:line="240" w:lineRule="auto"/>
        <w:tabs>
          <w:tab w:val="num" w:pos="851" w:leader="none"/>
          <w:tab w:val="left" w:pos="100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2.4.1. Оператор проводить Планові роботи, якщо </w:t>
      </w:r>
      <w:r>
        <w:rPr>
          <w:rFonts w:ascii="Times New Roman" w:hAnsi="Times New Roman" w:cs="Times New Roman"/>
          <w:sz w:val="24"/>
          <w:szCs w:val="24"/>
        </w:rPr>
        <w:t xml:space="preserve">попередив про це Замовника не менше ніж за 2 (два) робочих дні до початку їх проведення шляхом відправлення повідомлення на електронну адресу Замовника. В повідомленні повинні бути зазначені адреса надання Послуг, час початку ЗНП та можлива тривалість ЗНП.</w:t>
      </w:r>
      <w:r/>
    </w:p>
    <w:p>
      <w:pPr>
        <w:ind w:firstLine="567"/>
        <w:jc w:val="both"/>
        <w:spacing w:after="0" w:line="240" w:lineRule="auto"/>
        <w:tabs>
          <w:tab w:val="left" w:pos="100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2.4.2. Планові роботи можуть проводитись в період з 23:00 до 08:00 год. в робочі дні або за окремою домовленістю Сторін.</w:t>
      </w:r>
      <w:r/>
    </w:p>
    <w:p>
      <w:pPr>
        <w:ind w:firstLine="567"/>
        <w:jc w:val="both"/>
        <w:spacing w:after="0" w:line="240" w:lineRule="auto"/>
        <w:tabs>
          <w:tab w:val="left" w:pos="10065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2.4.3. Вимоги щодо загальної тривалості ЗНП приведені в Таблиці 3 цього Додатку.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2.4.4. У випадку порушення Оператором порядку, зазначеного в пункті 2.4.1 цього Додатку, недоступність Послуг, викликана проведенням Планових робіт, вважається Аварійною недоступністю Послуг (надалі – «АНП») з вини Оператора.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2.4.5. Проведення Оператором Планових робіт в порядку та в строки інші, ніж встановлені пунктами 2.4.1 - 2.4.3 цього Додатку, може бути здійснене виключно за письмовим погодженням із Замовником.</w:t>
      </w:r>
      <w:r/>
    </w:p>
    <w:p>
      <w:pPr>
        <w:jc w:val="right"/>
        <w:spacing w:after="0" w:line="240" w:lineRule="auto"/>
        <w:tabs>
          <w:tab w:val="left" w:pos="9781" w:leader="none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jc w:val="right"/>
        <w:spacing w:after="0" w:line="240" w:lineRule="auto"/>
        <w:tabs>
          <w:tab w:val="left" w:pos="9781" w:leader="none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</w:r>
      <w:r/>
    </w:p>
    <w:p>
      <w:pPr>
        <w:jc w:val="right"/>
        <w:spacing w:after="0" w:line="240" w:lineRule="auto"/>
        <w:tabs>
          <w:tab w:val="left" w:pos="9781" w:leader="none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Таблиця 3</w:t>
      </w:r>
      <w:r/>
    </w:p>
    <w:p>
      <w:pPr>
        <w:ind w:firstLine="143"/>
        <w:jc w:val="center"/>
        <w:spacing w:before="12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Загальна тривалість ЗНП</w:t>
      </w:r>
      <w:r/>
    </w:p>
    <w:tbl>
      <w:tblPr>
        <w:tblpPr w:horzAnchor="text" w:tblpXSpec="center" w:vertAnchor="text" w:tblpY="1" w:leftFromText="180" w:topFromText="0" w:rightFromText="180" w:bottomFromText="160"/>
        <w:tblW w:w="9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211"/>
        <w:gridCol w:w="2268"/>
        <w:gridCol w:w="2410"/>
      </w:tblGrid>
      <w:tr>
        <w:trPr>
          <w:trHeight w:val="83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1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Загальна тривалість ЗНП, на місяць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Загальна тривалість ЗНП, на рік</w:t>
            </w:r>
            <w:r/>
          </w:p>
        </w:tc>
      </w:tr>
      <w:tr>
        <w:trPr>
          <w:trHeight w:val="552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11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Відновлення доступу каналів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звʼязку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12 годин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48 годин</w:t>
            </w:r>
            <w:r/>
          </w:p>
        </w:tc>
      </w:tr>
    </w:tbl>
    <w:p>
      <w:pPr>
        <w:ind w:firstLine="567"/>
        <w:jc w:val="both"/>
        <w:spacing w:before="240" w:after="0" w:line="240" w:lineRule="auto"/>
        <w:tabs>
          <w:tab w:val="num" w:pos="824" w:leader="none"/>
          <w:tab w:val="left" w:pos="9923" w:leader="none"/>
        </w:tabs>
        <w:rPr>
          <w:rFonts w:ascii="Times New Roman" w:hAnsi="Times New Roman" w:eastAsia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2.5. Про факт відновлення доступності Послуг Оператор повідомляє Замовника за телефоном та дублює повідомлення електронною поштою, що </w:t>
      </w:r>
      <w:r>
        <w:rPr>
          <w:rFonts w:ascii="Times New Roman" w:hAnsi="Times New Roman" w:cs="Times New Roman"/>
          <w:sz w:val="24"/>
          <w:szCs w:val="24"/>
        </w:rPr>
        <w:t xml:space="preserve">зазначені в розділі 5 цього Додатку. У відповідь на повідомлення Оператора Замовник підтверджує чи не підтверджує факт відновлення доступності Послуг Замовника за телефоном та дублює підтвердження електронною поштою, що зазначені в розділі 5 цього Додатку.</w:t>
      </w:r>
      <w:r/>
    </w:p>
    <w:p>
      <w:pPr>
        <w:ind w:firstLine="567"/>
        <w:jc w:val="both"/>
        <w:spacing w:after="0" w:line="240" w:lineRule="auto"/>
        <w:tabs>
          <w:tab w:val="num" w:pos="824" w:leader="none"/>
          <w:tab w:val="left" w:pos="9923" w:leader="none"/>
        </w:tabs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2.6. Замовник має право отримувати інформацію про хід виконання робіт по відновленню доступності Послуг шляхом звернення до представників технічної підтримки Оператора.</w:t>
      </w:r>
      <w:r/>
    </w:p>
    <w:p>
      <w:pPr>
        <w:ind w:firstLine="567"/>
        <w:jc w:val="both"/>
        <w:spacing w:after="0" w:line="240" w:lineRule="auto"/>
        <w:tabs>
          <w:tab w:val="left" w:pos="284" w:leader="none"/>
          <w:tab w:val="left" w:pos="567" w:leader="none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2.7. Послуги класифікуються АНП, якщо виникли з будь-яких причин за виключенням ЗНП.</w:t>
      </w:r>
      <w:r/>
    </w:p>
    <w:p>
      <w:pPr>
        <w:ind w:firstLine="567"/>
        <w:jc w:val="both"/>
        <w:spacing w:after="0" w:line="240" w:lineRule="auto"/>
        <w:tabs>
          <w:tab w:val="left" w:pos="284" w:leader="none"/>
          <w:tab w:val="left" w:pos="567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Порядок та строки усунення АНП:</w:t>
      </w:r>
      <w:r/>
    </w:p>
    <w:p>
      <w:pPr>
        <w:ind w:firstLine="567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2.8.1. У випадку виникнення АНП Оператор негайно повідомляє про це представників технічної підтримки Замовника за телефоном або за електронною </w:t>
      </w:r>
      <w:r>
        <w:rPr>
          <w:rFonts w:ascii="Times New Roman" w:hAnsi="Times New Roman" w:cs="Times New Roman"/>
          <w:sz w:val="24"/>
          <w:szCs w:val="24"/>
        </w:rPr>
        <w:t xml:space="preserve">адресою</w:t>
      </w:r>
      <w:r>
        <w:rPr>
          <w:rFonts w:ascii="Times New Roman" w:hAnsi="Times New Roman" w:cs="Times New Roman"/>
          <w:sz w:val="24"/>
          <w:szCs w:val="24"/>
        </w:rPr>
        <w:t xml:space="preserve">, що зазначені в розділі 5 цього Додатку.</w:t>
      </w:r>
      <w:r/>
    </w:p>
    <w:p>
      <w:pPr>
        <w:ind w:firstLine="567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2.8.2. У випадку, якщо АНП виявлена Замовником, останній негайно повідомляє про це представників технічної підтримки Оператора за телефоном або за електронною </w:t>
      </w:r>
      <w:r>
        <w:rPr>
          <w:rFonts w:ascii="Times New Roman" w:hAnsi="Times New Roman" w:cs="Times New Roman"/>
          <w:sz w:val="24"/>
          <w:szCs w:val="24"/>
        </w:rPr>
        <w:t xml:space="preserve">адресою</w:t>
      </w:r>
      <w:r>
        <w:rPr>
          <w:rFonts w:ascii="Times New Roman" w:hAnsi="Times New Roman" w:cs="Times New Roman"/>
          <w:sz w:val="24"/>
          <w:szCs w:val="24"/>
        </w:rPr>
        <w:t xml:space="preserve">, що зазначені в розділі 5 цього Додатку.</w:t>
      </w:r>
      <w:r/>
    </w:p>
    <w:p>
      <w:pPr>
        <w:ind w:firstLine="567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2.8.3. Повідомлення має містити відомості, визначені у пункті 4.2 цього Додатку. Оператор має право не приймати до виконання повідомлення Замовника про АНП, яке не включає всі відомості, наведені у пункті 4.2 цього Додатку, про що має повідомити Замовника.</w:t>
      </w:r>
      <w:r/>
    </w:p>
    <w:p>
      <w:pPr>
        <w:ind w:firstLine="567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2.8.4. Початком періоду АНП вважається отримання Оператором в</w:t>
      </w:r>
      <w:r>
        <w:rPr>
          <w:rFonts w:ascii="Times New Roman" w:hAnsi="Times New Roman" w:cs="Times New Roman"/>
          <w:sz w:val="24"/>
          <w:szCs w:val="24"/>
        </w:rPr>
        <w:t xml:space="preserve">ід Замовника інформації про АНП за телефоном або  електронною поштою. У разі, якщо інформація надається електронною поштою, вона вважається наданою Оператору в момент отримання Замовником електронного повідомлення про доставку електронного листа Оператору.</w:t>
      </w:r>
      <w:r/>
    </w:p>
    <w:p>
      <w:pPr>
        <w:ind w:firstLine="567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2.8.5. Строк усунення АНП приведені в Таблиці 4 цього Додатку.</w:t>
      </w:r>
      <w:r/>
    </w:p>
    <w:p>
      <w:pPr>
        <w:ind w:firstLine="567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2.8.6. Строки усунення АНП, що зазначені в Таблиці 4 цього Додатку, та відповідальність Оператора, встановлена у розділі 3 цього Додатку, не застосовуються у </w:t>
      </w:r>
      <w:r>
        <w:rPr>
          <w:rFonts w:ascii="Times New Roman" w:hAnsi="Times New Roman" w:cs="Times New Roman"/>
          <w:sz w:val="24"/>
          <w:szCs w:val="24"/>
        </w:rPr>
        <w:t xml:space="preserve">випадку, якщо АНП виникла з вини Замовника. Порядок, строки усунення АНП, що виникли з вини Замовника, погоджується Сторонами в кожному окремому випадку.</w:t>
      </w:r>
      <w:r/>
    </w:p>
    <w:p>
      <w:pPr>
        <w:ind w:firstLine="567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2.8.7. Строки усунення АНП, зазначені у Таблиці 4 цього Додатку, не включають строк, протягом якого персоналу Оператора Замовником не було надано необхідний доступ до Обладнання.</w:t>
      </w:r>
      <w:r/>
    </w:p>
    <w:p>
      <w:pPr>
        <w:ind w:firstLine="567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i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2.8.8. Завершенням періоду АНП вважається час фактичного усунення АНП та відновлення доступності Послуг, що має бути підтверджено Замовником за електронною </w:t>
      </w:r>
      <w:r>
        <w:rPr>
          <w:rFonts w:ascii="Times New Roman" w:hAnsi="Times New Roman" w:cs="Times New Roman"/>
          <w:sz w:val="24"/>
          <w:szCs w:val="24"/>
        </w:rPr>
        <w:t xml:space="preserve">адресою</w:t>
      </w:r>
      <w:r>
        <w:rPr>
          <w:rFonts w:ascii="Times New Roman" w:hAnsi="Times New Roman" w:cs="Times New Roman"/>
          <w:sz w:val="24"/>
          <w:szCs w:val="24"/>
        </w:rPr>
        <w:t xml:space="preserve">, що зазначена в розділі 5 цього Додатку. Інформація про відновлення доступності Послуг вважається наданою Оператору в момент отримання Замовником електронного повідомлення про доставку відповідного електронного листа Оператору.</w:t>
      </w:r>
      <w:r/>
    </w:p>
    <w:p>
      <w:pPr>
        <w:ind w:firstLine="567"/>
        <w:jc w:val="right"/>
        <w:spacing w:after="0" w:line="240" w:lineRule="auto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Таблиця 4</w:t>
      </w:r>
      <w:r/>
    </w:p>
    <w:p>
      <w:pPr>
        <w:ind w:firstLine="567"/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Строк усунення АНП</w:t>
      </w:r>
      <w:r/>
    </w:p>
    <w:tbl>
      <w:tblPr>
        <w:tblpPr w:horzAnchor="margin" w:tblpXSpec="center" w:vertAnchor="text" w:tblpY="129" w:leftFromText="180" w:topFromText="0" w:rightFromText="180" w:bottomFromText="160"/>
        <w:tblW w:w="97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6799"/>
        <w:gridCol w:w="2948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9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Максимальний строк усунення АНП</w:t>
            </w:r>
            <w:r/>
          </w:p>
        </w:tc>
      </w:tr>
      <w:tr>
        <w:trPr>
          <w:trHeight w:val="54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799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Відновлення доступу до каналів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звʼязку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години</w:t>
            </w:r>
            <w:r/>
          </w:p>
        </w:tc>
      </w:tr>
    </w:tbl>
    <w:p>
      <w:pPr>
        <w:ind w:firstLine="567"/>
        <w:jc w:val="both"/>
        <w:spacing w:before="120" w:after="0" w:line="240" w:lineRule="auto"/>
        <w:tabs>
          <w:tab w:val="left" w:pos="284" w:leader="none"/>
        </w:tabs>
        <w:rPr>
          <w:rFonts w:ascii="Times New Roman" w:hAnsi="Times New Roman" w:eastAsia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2.8.9. Про факт відновлення доступності Послуг Оператор повідомляє Замовника за телефоном та дублює повідомлення електронною поштою. У відповідь на повідомлення Оператора Замовник підтверджує чи не підтверджує факт відновлення доступності Послуг.</w:t>
      </w:r>
      <w:r/>
    </w:p>
    <w:p>
      <w:pPr>
        <w:ind w:firstLine="567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2.8.10. З</w:t>
      </w:r>
      <w:r>
        <w:rPr>
          <w:rFonts w:ascii="Times New Roman" w:hAnsi="Times New Roman" w:cs="Times New Roman"/>
          <w:sz w:val="24"/>
          <w:szCs w:val="24"/>
        </w:rPr>
        <w:t xml:space="preserve">амовник зобов’язується негайно надавати персоналу Оператора доступ до приміщень Замовника, необхідного телекомунікаційного обладнання, що забезпечує надання Послуг та розміщене в приміщеннях Замовника, для виконання робіт по відновленню доступності Послуг.</w:t>
      </w:r>
      <w:r/>
    </w:p>
    <w:p>
      <w:pPr>
        <w:ind w:firstLine="567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2.8.11. Для отримання необхідного доступу до приміщень Замовника, персонал Оператора пред’являє Замовнику службові посвідчення та направлення на виконання робіт.</w:t>
      </w:r>
      <w:r/>
    </w:p>
    <w:p>
      <w:pPr>
        <w:ind w:firstLine="567"/>
        <w:jc w:val="both"/>
        <w:spacing w:after="0" w:line="240" w:lineRule="auto"/>
        <w:tabs>
          <w:tab w:val="left" w:pos="284" w:leader="none"/>
        </w:tabs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2.8.12. Замовник має право отримувати інформацію про хід виконання робіт по відновленню доступності Послуг шляхом звернення до представників технічної підтримки Оператора.</w:t>
      </w:r>
      <w:r/>
    </w:p>
    <w:p>
      <w:pPr>
        <w:jc w:val="center"/>
        <w:spacing w:before="240" w:after="0" w:line="240" w:lineRule="auto"/>
        <w:tabs>
          <w:tab w:val="left" w:pos="9923" w:leader="none"/>
        </w:tabs>
        <w:rPr>
          <w:rFonts w:ascii="Times New Roman" w:hAnsi="Times New Roman" w:cs="Times New Roman"/>
          <w:b/>
          <w:bCs/>
          <w:sz w:val="24"/>
          <w:szCs w:val="24"/>
        </w:rPr>
        <w:outlineLvl w:val="0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Технічна підтримка Оператора</w:t>
      </w:r>
      <w:r/>
    </w:p>
    <w:p>
      <w:pPr>
        <w:ind w:firstLine="567"/>
        <w:jc w:val="both"/>
        <w:spacing w:after="0" w:line="240" w:lineRule="auto"/>
        <w:tabs>
          <w:tab w:val="left" w:pos="9923" w:leader="none"/>
        </w:tabs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3.1. Оператор приймає звернення (повідомлення) Замовника цілодобово, без перерв та вихідних по телефону та на електронну адресу Оператора.</w:t>
      </w:r>
      <w:r/>
    </w:p>
    <w:p>
      <w:pPr>
        <w:ind w:firstLine="567"/>
        <w:jc w:val="both"/>
        <w:spacing w:after="0" w:line="240" w:lineRule="auto"/>
        <w:tabs>
          <w:tab w:val="left" w:pos="9923" w:leader="none"/>
        </w:tabs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3.2. Звернення (повідомлення) Замовника повинно обов’язково включати: найменування Замовника; ім’я, прізвище, контактний телефон особи, що звертається; найменування Послуги; причину звернення.</w:t>
      </w:r>
      <w:r/>
    </w:p>
    <w:p>
      <w:pPr>
        <w:ind w:firstLine="567"/>
        <w:jc w:val="both"/>
        <w:spacing w:after="0" w:line="240" w:lineRule="auto"/>
        <w:tabs>
          <w:tab w:val="left" w:pos="9923" w:leader="none"/>
        </w:tabs>
        <w:rPr>
          <w:rFonts w:ascii="Times New Roman" w:hAnsi="Times New Roman" w:cs="Times New Roman"/>
          <w:sz w:val="24"/>
          <w:szCs w:val="24"/>
        </w:rPr>
        <w:outlineLvl w:val="0"/>
      </w:pPr>
      <w:r>
        <w:rPr>
          <w:rFonts w:ascii="Times New Roman" w:hAnsi="Times New Roman" w:cs="Times New Roman"/>
          <w:sz w:val="24"/>
          <w:szCs w:val="24"/>
        </w:rPr>
        <w:t xml:space="preserve">3.3. У разі невиконання Замовником пункту 3.2 цього Додатку, Оператор не несе відповідальність за порушення строків усунення АНП.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На підставі звернення (повідомлення) Замовника відповідно до пункту 3.2 цього Додатку, Оператор формує заявку, що включає всі відомості, повідомлені Замовником.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70 800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сімдесят тисяч вісімсот гривень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6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1" w:hanging="375"/>
        <w:tabs>
          <w:tab w:val="num" w:pos="566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Calibri" w:hAnsi="Calibri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25"/>
  </w:num>
  <w:num w:numId="2">
    <w:abstractNumId w:val="14"/>
  </w:num>
  <w:num w:numId="3">
    <w:abstractNumId w:val="6"/>
  </w:num>
  <w:num w:numId="4">
    <w:abstractNumId w:val="20"/>
  </w:num>
  <w:num w:numId="5">
    <w:abstractNumId w:val="5"/>
  </w:num>
  <w:num w:numId="6">
    <w:abstractNumId w:val="26"/>
  </w:num>
  <w:num w:numId="7">
    <w:abstractNumId w:val="9"/>
  </w:num>
  <w:num w:numId="8">
    <w:abstractNumId w:val="28"/>
  </w:num>
  <w:num w:numId="9">
    <w:abstractNumId w:val="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7"/>
  </w:num>
  <w:num w:numId="13">
    <w:abstractNumId w:val="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27"/>
  </w:num>
  <w:num w:numId="17">
    <w:abstractNumId w:val="0"/>
  </w:num>
  <w:num w:numId="18">
    <w:abstractNumId w:val="29"/>
  </w:num>
  <w:num w:numId="19">
    <w:abstractNumId w:val="21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2"/>
  </w:num>
  <w:num w:numId="25">
    <w:abstractNumId w:val="15"/>
  </w:num>
  <w:num w:numId="26">
    <w:abstractNumId w:val="18"/>
  </w:num>
  <w:num w:numId="27">
    <w:abstractNumId w:val="23"/>
  </w:num>
  <w:num w:numId="28">
    <w:abstractNumId w:val="16"/>
  </w:num>
  <w:num w:numId="29">
    <w:abstractNumId w:val="24"/>
  </w:num>
  <w:num w:numId="30">
    <w:abstractNumId w:val="13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05"/>
    <w:next w:val="705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07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07"/>
    <w:link w:val="706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05"/>
    <w:next w:val="705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0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05"/>
    <w:next w:val="705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0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05"/>
    <w:next w:val="705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0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05"/>
    <w:next w:val="70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0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05"/>
    <w:next w:val="70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0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05"/>
    <w:next w:val="70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0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05"/>
    <w:next w:val="70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0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05"/>
    <w:next w:val="705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07"/>
    <w:link w:val="33"/>
    <w:uiPriority w:val="10"/>
    <w:rPr>
      <w:sz w:val="48"/>
      <w:szCs w:val="48"/>
    </w:rPr>
  </w:style>
  <w:style w:type="paragraph" w:styleId="35">
    <w:name w:val="Subtitle"/>
    <w:basedOn w:val="705"/>
    <w:next w:val="70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07"/>
    <w:link w:val="35"/>
    <w:uiPriority w:val="11"/>
    <w:rPr>
      <w:sz w:val="24"/>
      <w:szCs w:val="24"/>
    </w:rPr>
  </w:style>
  <w:style w:type="paragraph" w:styleId="37">
    <w:name w:val="Quote"/>
    <w:basedOn w:val="705"/>
    <w:next w:val="70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5"/>
    <w:next w:val="70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705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707"/>
    <w:link w:val="41"/>
    <w:uiPriority w:val="99"/>
  </w:style>
  <w:style w:type="character" w:styleId="44">
    <w:name w:val="Footer Char"/>
    <w:basedOn w:val="707"/>
    <w:link w:val="716"/>
    <w:uiPriority w:val="99"/>
  </w:style>
  <w:style w:type="paragraph" w:styleId="45">
    <w:name w:val="Caption"/>
    <w:basedOn w:val="705"/>
    <w:next w:val="70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16"/>
    <w:uiPriority w:val="99"/>
  </w:style>
  <w:style w:type="table" w:styleId="48">
    <w:name w:val="Table Grid Light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0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07"/>
    <w:uiPriority w:val="99"/>
    <w:unhideWhenUsed/>
    <w:rPr>
      <w:vertAlign w:val="superscript"/>
    </w:rPr>
  </w:style>
  <w:style w:type="paragraph" w:styleId="177">
    <w:name w:val="endnote text"/>
    <w:basedOn w:val="70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07"/>
    <w:uiPriority w:val="99"/>
    <w:semiHidden/>
    <w:unhideWhenUsed/>
    <w:rPr>
      <w:vertAlign w:val="superscript"/>
    </w:rPr>
  </w:style>
  <w:style w:type="paragraph" w:styleId="180">
    <w:name w:val="toc 1"/>
    <w:basedOn w:val="705"/>
    <w:next w:val="70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05"/>
    <w:next w:val="70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05"/>
    <w:next w:val="70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05"/>
    <w:next w:val="70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05"/>
    <w:next w:val="70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05"/>
    <w:next w:val="70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05"/>
    <w:next w:val="70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05"/>
    <w:next w:val="70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05"/>
    <w:next w:val="70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05"/>
    <w:next w:val="705"/>
    <w:uiPriority w:val="99"/>
    <w:unhideWhenUsed/>
    <w:pPr>
      <w:spacing w:after="0" w:afterAutospacing="0"/>
    </w:pPr>
  </w:style>
  <w:style w:type="paragraph" w:styleId="705" w:default="1">
    <w:name w:val="Normal"/>
    <w:qFormat/>
    <w:rPr>
      <w:lang w:val="uk-UA"/>
    </w:rPr>
  </w:style>
  <w:style w:type="paragraph" w:styleId="706">
    <w:name w:val="Heading 2"/>
    <w:basedOn w:val="705"/>
    <w:link w:val="725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707" w:default="1">
    <w:name w:val="Default Paragraph Font"/>
    <w:uiPriority w:val="1"/>
    <w:semiHidden/>
    <w:unhideWhenUsed/>
  </w:style>
  <w:style w:type="table" w:styleId="7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9" w:default="1">
    <w:name w:val="No List"/>
    <w:uiPriority w:val="99"/>
    <w:semiHidden/>
    <w:unhideWhenUsed/>
  </w:style>
  <w:style w:type="paragraph" w:styleId="710">
    <w:name w:val="List Paragraph"/>
    <w:basedOn w:val="705"/>
    <w:link w:val="71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11" w:customStyle="1">
    <w:name w:val="Абзац списку Знак"/>
    <w:link w:val="710"/>
    <w:uiPriority w:val="34"/>
    <w:qFormat/>
    <w:rPr>
      <w:rFonts w:ascii="Calibri" w:hAnsi="Calibri" w:eastAsia="Calibri" w:cs="Calibri"/>
      <w:lang w:eastAsia="zh-CN"/>
    </w:rPr>
  </w:style>
  <w:style w:type="table" w:styleId="712">
    <w:name w:val="Table Grid"/>
    <w:basedOn w:val="708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3" w:customStyle="1">
    <w:name w:val="Сетка таблицы2"/>
    <w:basedOn w:val="708"/>
    <w:next w:val="712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4">
    <w:name w:val="Normal (Web)"/>
    <w:basedOn w:val="705"/>
    <w:link w:val="721"/>
    <w:uiPriority w:val="99"/>
    <w:unhideWhenUsed/>
    <w:qFormat/>
    <w:rPr>
      <w:rFonts w:ascii="Times New Roman" w:hAnsi="Times New Roman" w:cs="Times New Roman"/>
      <w:sz w:val="24"/>
      <w:szCs w:val="24"/>
    </w:rPr>
  </w:style>
  <w:style w:type="table" w:styleId="715" w:customStyle="1">
    <w:name w:val="Сетка таблицы1"/>
    <w:basedOn w:val="708"/>
    <w:next w:val="712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6">
    <w:name w:val="Footer"/>
    <w:basedOn w:val="705"/>
    <w:link w:val="717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17" w:customStyle="1">
    <w:name w:val="Нижній колонтитул Знак"/>
    <w:basedOn w:val="707"/>
    <w:link w:val="716"/>
    <w:uiPriority w:val="99"/>
    <w:rPr>
      <w:rFonts w:ascii="Calibri" w:hAnsi="Calibri" w:eastAsia="Calibri" w:cs="Calibri"/>
      <w:lang w:eastAsia="zh-CN"/>
    </w:rPr>
  </w:style>
  <w:style w:type="paragraph" w:styleId="718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19">
    <w:name w:val="Hyperlink"/>
    <w:basedOn w:val="707"/>
    <w:uiPriority w:val="99"/>
    <w:unhideWhenUsed/>
    <w:rPr>
      <w:color w:val="0563c1" w:themeColor="hyperlink"/>
      <w:u w:val="single"/>
    </w:rPr>
  </w:style>
  <w:style w:type="character" w:styleId="720" w:customStyle="1">
    <w:name w:val="xfm_93972720"/>
    <w:basedOn w:val="707"/>
  </w:style>
  <w:style w:type="character" w:styleId="721" w:customStyle="1">
    <w:name w:val="Звичайний (веб) Знак"/>
    <w:link w:val="714"/>
    <w:uiPriority w:val="99"/>
    <w:qFormat/>
    <w:rPr>
      <w:rFonts w:ascii="Times New Roman" w:hAnsi="Times New Roman" w:cs="Times New Roman"/>
      <w:sz w:val="24"/>
      <w:szCs w:val="24"/>
      <w:lang w:val="uk-UA"/>
    </w:rPr>
  </w:style>
  <w:style w:type="paragraph" w:styleId="722">
    <w:name w:val="Body Text 2"/>
    <w:basedOn w:val="705"/>
    <w:link w:val="723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23" w:customStyle="1">
    <w:name w:val="Основний текст 2 Знак"/>
    <w:basedOn w:val="707"/>
    <w:link w:val="722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24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25" w:customStyle="1">
    <w:name w:val="Заголовок 2 Знак"/>
    <w:basedOn w:val="707"/>
    <w:link w:val="706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26">
    <w:name w:val="No Spacing"/>
    <w:link w:val="727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27" w:customStyle="1">
    <w:name w:val="Без інтервалів Знак"/>
    <w:basedOn w:val="707"/>
    <w:link w:val="726"/>
    <w:uiPriority w:val="1"/>
    <w:rPr>
      <w:rFonts w:ascii="Calibri" w:hAnsi="Calibri" w:eastAsia="Calibri" w:cs="Times New Roman"/>
      <w:lang w:val="uk-UA"/>
    </w:rPr>
  </w:style>
  <w:style w:type="character" w:styleId="728" w:customStyle="1">
    <w:name w:val="Другое_"/>
    <w:basedOn w:val="707"/>
    <w:link w:val="729"/>
    <w:rPr>
      <w:rFonts w:ascii="Calibri" w:hAnsi="Calibri" w:eastAsia="Calibri" w:cs="Calibri"/>
      <w:sz w:val="20"/>
      <w:szCs w:val="20"/>
    </w:rPr>
  </w:style>
  <w:style w:type="paragraph" w:styleId="729" w:customStyle="1">
    <w:name w:val="Другое"/>
    <w:basedOn w:val="705"/>
    <w:link w:val="728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30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31" w:customStyle="1">
    <w:name w:val="Основной текст (2)_"/>
    <w:basedOn w:val="707"/>
    <w:link w:val="732"/>
    <w:rPr>
      <w:rFonts w:eastAsia="Times New Roman" w:cs="Times New Roman"/>
      <w:shd w:val="clear" w:color="auto" w:fill="ffffff"/>
    </w:rPr>
  </w:style>
  <w:style w:type="paragraph" w:styleId="732" w:customStyle="1">
    <w:name w:val="Основной текст (2)"/>
    <w:basedOn w:val="705"/>
    <w:link w:val="731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33" w:customStyle="1">
    <w:name w:val="Текст у виносці Знак"/>
    <w:basedOn w:val="707"/>
    <w:link w:val="73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34">
    <w:name w:val="Balloon Text"/>
    <w:basedOn w:val="705"/>
    <w:link w:val="733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35" w:customStyle="1">
    <w:name w:val="Текст у виносці Знак1"/>
    <w:basedOn w:val="707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36" w:customStyle="1">
    <w:name w:val="T23"/>
    <w:rPr>
      <w:rFonts w:hint="default" w:ascii="Times New Roman" w:hAnsi="Times New Roman" w:eastAsia="Times New Roman1" w:cs="Times New Roman"/>
    </w:rPr>
  </w:style>
  <w:style w:type="paragraph" w:styleId="737" w:customStyle="1">
    <w:name w:val="Абзац списку1"/>
    <w:basedOn w:val="705"/>
    <w:uiPriority w:val="99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character" w:styleId="738" w:customStyle="1">
    <w:name w:val="markedcontent"/>
    <w:basedOn w:val="707"/>
  </w:style>
  <w:style w:type="paragraph" w:styleId="739">
    <w:name w:val="annotation text"/>
    <w:basedOn w:val="705"/>
    <w:link w:val="740"/>
    <w:uiPriority w:val="99"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40" w:customStyle="1">
    <w:name w:val="Текст примітки Знак"/>
    <w:basedOn w:val="707"/>
    <w:link w:val="739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145</cp:revision>
  <dcterms:created xsi:type="dcterms:W3CDTF">2022-11-01T12:47:00Z</dcterms:created>
  <dcterms:modified xsi:type="dcterms:W3CDTF">2023-12-21T15:58:02Z</dcterms:modified>
</cp:coreProperties>
</file>