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9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Послуги з те</w:t>
      </w:r>
      <w:r>
        <w:rPr>
          <w:b w:val="0"/>
          <w:sz w:val="24"/>
          <w:szCs w:val="24"/>
        </w:rPr>
        <w:t xml:space="preserve">хнічного обслуговування мережевого та серверного обладнання Системи фіксації адміністративних правопорушень у сфері забезпечення безпеки дорожнього руху в автоматичному режимі за кодом  ДК 021:2015: 72250000-2 Послуги, пов’язані із системами та підтримкою.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010663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Послуги з технічного обслуговування мережевого та серверного обладнання Системи фіксації адміністративних правопорушень у сфері забезпечення безпеки дорожнього руху в автоматичному режимі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Технічна частина</w:t>
      </w:r>
      <w:r/>
    </w:p>
    <w:p>
      <w:pPr>
        <w:ind w:firstLine="709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Послуга підтримки ІТ-сервісів Замовника можуть забезпечується Виконавцем у формі часткового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аутстафінгу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персоналу. </w:t>
      </w:r>
      <w:r/>
    </w:p>
    <w:p>
      <w:pPr>
        <w:ind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Послуга надається Замовнику у вигляді базових та додаткових послуг. Надані послуги щомісяця фіксуються в актах про виконання робіт, що підписуються Виконавцем та Замовником.</w:t>
      </w:r>
      <w:r/>
    </w:p>
    <w:p>
      <w:pPr>
        <w:ind w:firstLine="709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ind w:firstLine="709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Основні завдання:</w:t>
      </w:r>
      <w:r/>
    </w:p>
    <w:p>
      <w:pPr>
        <w:ind w:firstLine="709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pStyle w:val="703"/>
        <w:numPr>
          <w:ilvl w:val="0"/>
          <w:numId w:val="26"/>
        </w:numPr>
        <w:ind w:left="0" w:firstLine="709"/>
        <w:jc w:val="both"/>
        <w:spacing w:after="0" w:line="240" w:lineRule="auto"/>
        <w:shd w:val="clear" w:color="auto" w:fill="ffffff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Забезпечити доступність Програмно-Апаратного Комплексу СФАП з максимально допустимим часом простою не більше ніж 4 години на рік.</w:t>
      </w:r>
      <w:r/>
    </w:p>
    <w:p>
      <w:pPr>
        <w:pStyle w:val="703"/>
        <w:numPr>
          <w:ilvl w:val="0"/>
          <w:numId w:val="26"/>
        </w:numPr>
        <w:ind w:left="0" w:firstLine="709"/>
        <w:jc w:val="both"/>
        <w:spacing w:after="0" w:line="240" w:lineRule="auto"/>
        <w:shd w:val="clear" w:color="auto" w:fill="ffffff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Здійснювати комплексну підтримку ІТ сервісів ПАК. Підтримка здійснюється в офісі Замовника (фахівець Виконавця повинен бути присутнім в офісі Замовника).</w:t>
      </w:r>
      <w:r/>
    </w:p>
    <w:p>
      <w:pPr>
        <w:pStyle w:val="703"/>
        <w:numPr>
          <w:ilvl w:val="0"/>
          <w:numId w:val="26"/>
        </w:numPr>
        <w:ind w:left="0" w:firstLine="709"/>
        <w:jc w:val="both"/>
        <w:spacing w:after="0" w:line="240" w:lineRule="auto"/>
        <w:shd w:val="clear" w:color="auto" w:fill="ffffff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Підтримка у актуальному стані технічної документації ПАК.</w:t>
      </w:r>
      <w:r/>
    </w:p>
    <w:p>
      <w:pPr>
        <w:ind w:firstLine="709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ind w:firstLine="709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Послуга має включати в себе, але не обмежуватися:</w:t>
      </w:r>
      <w:r/>
    </w:p>
    <w:p>
      <w:pPr>
        <w:pStyle w:val="703"/>
        <w:numPr>
          <w:ilvl w:val="0"/>
          <w:numId w:val="27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Відновлення працездатності сервісів, обладнання у разі аварії, збоїв тощо.</w:t>
      </w:r>
      <w:r/>
    </w:p>
    <w:p>
      <w:pPr>
        <w:pStyle w:val="703"/>
        <w:numPr>
          <w:ilvl w:val="0"/>
          <w:numId w:val="27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Проактивний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моніторинг стану сервісів та обладнання, своєчасне виявлення вузьких місць та надання рекомендацій щодо модернізації або реінжинірингу ІТ інфраструктури та сервісів Замовника.</w:t>
      </w:r>
      <w:r/>
    </w:p>
    <w:p>
      <w:pPr>
        <w:pStyle w:val="703"/>
        <w:numPr>
          <w:ilvl w:val="0"/>
          <w:numId w:val="27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Оптимізація використання наявних ІТ активів та інших ресурсів для зниження витрат підприємства та вартості володіння ПАК.</w:t>
      </w:r>
      <w:r/>
    </w:p>
    <w:p>
      <w:pPr>
        <w:pStyle w:val="703"/>
        <w:numPr>
          <w:ilvl w:val="0"/>
          <w:numId w:val="27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Своєчасне, згідно з регламентом, встановлення оновлень ОС (операційних систем), ПЗ (програмного забезпечення), оновлення прошивок обладнання.</w:t>
      </w:r>
      <w:r/>
    </w:p>
    <w:p>
      <w:pPr>
        <w:ind w:firstLine="709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ind w:firstLine="709"/>
        <w:spacing w:after="0" w:line="240" w:lineRule="auto"/>
        <w:tabs>
          <w:tab w:val="center" w:pos="1134" w:leader="none"/>
        </w:tabs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Інформація про інфраструктуру. ПАК включає в себе: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Віртуалізація всіх кластерів побудована за технологіями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VMware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із використанням функціоналу пакету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VMware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vSphere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7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Ent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Plus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.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Гіперконвергентний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кластер на основі 8 (восьми) серверів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Cisco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UCS HX240c M5 – 2 комплекти.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Конвергентний кластер на основі 5 (п’яти)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блейд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-серверів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Cisco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UCS B200 M5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Blade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, що розміщені у шасі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Cisco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UCS 5108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Blade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Server AC2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Chassis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– 2 комплекти.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Система зберігання даних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NetApp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FAS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8300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HA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System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– 2 комплекти.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Об’єктна система зберігання даних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Cisco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Scality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побудована на базі 6 (шести) серверів зберігання даних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Cisco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UCS S3260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Storage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Server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Base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Chassis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. – 2 комплекти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Конвергентні комутатори передачі та зберігання даних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Cisco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UCS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Fabric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Interconnect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6332 – 8 одиниць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Програмно-визначена мережа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Cisco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ACI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and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 w:eastAsia="en-US"/>
        </w:rPr>
        <w:t xml:space="preserve">APIC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на базі 3 (трьох) вузлів APIC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Appliance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Medium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Configuration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; 1 (одного) комутатора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Nexus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9K ACI &amp; NX-OS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Spine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, 32p 40/100G &amp; 2p 10G та 4 (чотирьох) комутаторів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Nexus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9300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Series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, 36p 40/100G QSFP28 – 2 комплекти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Мережевий маршрутизатор ASR1001-X, 20G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Base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Bundle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, K9, AES,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Built-in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6x1G, 2x10G – 4 одиниці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Міжмережеві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екрани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Cisco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Firepower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2130 – 4 одиниці</w:t>
      </w:r>
      <w:r/>
    </w:p>
    <w:p>
      <w:pPr>
        <w:pStyle w:val="703"/>
        <w:numPr>
          <w:ilvl w:val="0"/>
          <w:numId w:val="28"/>
        </w:numPr>
        <w:ind w:left="0" w:firstLine="709"/>
        <w:jc w:val="both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Комутатор  захисту прикладних додатків, балансування навантаження та контролю доступ до прикладних додатків F5 BIG-IP i5600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Local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Traffic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Manager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(48 GB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Memory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, SSD,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Base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SSL,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Base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Compression</w:t>
      </w: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  <w:t xml:space="preserve">) – 4 одиниці</w:t>
      </w:r>
      <w:r/>
    </w:p>
    <w:p>
      <w:pPr>
        <w:ind w:firstLine="709"/>
        <w:spacing w:after="0" w:line="240" w:lineRule="auto"/>
        <w:tabs>
          <w:tab w:val="center" w:pos="1134" w:leader="none"/>
        </w:tabs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Додаткову інформацію про інфраструктуру буде надана після підписання Договору.</w:t>
      </w:r>
      <w:r/>
    </w:p>
    <w:p>
      <w:pPr>
        <w:pStyle w:val="703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Рівень якості послуг.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надання послуг: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4961"/>
      </w:tblGrid>
      <w:tr>
        <w:trPr>
          <w:jc w:val="center"/>
          <w:trHeight w:val="4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Телефонні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Надається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робочий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період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08.00 до 19.00) 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неробочий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запит:</w:t>
            </w:r>
            <w:r/>
          </w:p>
          <w:p>
            <w:pPr>
              <w:pStyle w:val="731"/>
              <w:jc w:val="left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30 хвилин у робочий час, до 4х годин у неробочий час.</w:t>
            </w:r>
            <w:r/>
          </w:p>
        </w:tc>
      </w:tr>
      <w:tr>
        <w:trPr>
          <w:jc w:val="center"/>
          <w:trHeight w:val="4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Підтримка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електронною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поштою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Віддалена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підтримка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Показники рівня якості сервісу для різних типів Звернень</w:t>
      </w:r>
      <w:r/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952"/>
        <w:gridCol w:w="1938"/>
        <w:gridCol w:w="1180"/>
        <w:gridCol w:w="1201"/>
        <w:gridCol w:w="1446"/>
        <w:gridCol w:w="1639"/>
      </w:tblGrid>
      <w:tr>
        <w:trPr>
          <w:trHeight w:val="8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Тип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запиту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Вид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категорія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запиту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7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Час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вирішення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залежно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від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пріоритету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Показники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рівня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якості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які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допустимі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прийняття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щомісячного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Акту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виконаних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робіт</w:t>
            </w:r>
            <w:r/>
          </w:p>
        </w:tc>
      </w:tr>
      <w:tr>
        <w:trPr>
          <w:trHeight w:val="2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Низький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Середній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Високий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4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Інцидент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Усунення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 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роботі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95%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Запит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обслуговування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доступом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95%</w:t>
            </w:r>
            <w:r/>
          </w:p>
        </w:tc>
      </w:tr>
      <w:tr>
        <w:trPr>
          <w:trHeight w:val="46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Запит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надання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інформації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Консультація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80%</w:t>
            </w:r>
            <w:r/>
          </w:p>
        </w:tc>
      </w:tr>
      <w:tr>
        <w:trPr>
          <w:trHeight w:val="7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інформації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Запит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зміну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Інсталяція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16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95%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Налаштування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Зміна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даних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4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Виконання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регламентних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операцій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66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Відновлення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після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аварії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Позаштатна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ситуація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99%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pStyle w:val="703"/>
        <w:ind w:left="0" w:firstLine="709"/>
        <w:spacing w:after="0" w:line="240" w:lineRule="auto"/>
        <w:tabs>
          <w:tab w:val="center" w:pos="993" w:leader="none"/>
        </w:tabs>
        <w:rPr>
          <w:rFonts w:ascii="Times New Roman" w:hAnsi="Times New Roman" w:cs="Times New Roman"/>
          <w:b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en-US"/>
        </w:rPr>
      </w:r>
      <w:r/>
    </w:p>
    <w:p>
      <w:pPr>
        <w:ind w:firstLine="709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Усі Звернення класифікуються на:</w:t>
      </w:r>
      <w:r/>
    </w:p>
    <w:p>
      <w:pPr>
        <w:pStyle w:val="703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Інцидентним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запитом - звернення, яке обумовлене незапланованим перериванням надання ІТ-послуги або доступності ІТ-сервісу</w:t>
      </w:r>
      <w:r/>
    </w:p>
    <w:p>
      <w:pPr>
        <w:pStyle w:val="703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Запит на обслуговування – заплановане звернення, зумовлене необхідністю виконання робіт з адміністрування ІТ-сервісу. Даний тип запиту не обумовлений перериванням роботи доступності ІТ-сервісу і не пов'язаний з помилкою в ІТ-інфраструктурі.</w:t>
      </w:r>
      <w:r/>
    </w:p>
    <w:p>
      <w:pPr>
        <w:pStyle w:val="703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Запит на надання інформації, отримання консультаційної підтримки інформації. Даний тип запиту не обумовлений перериванням роботи доступності ІТ-сервісу і не пов'язаний з помилкою в ІТ-інфраструктурі.</w:t>
      </w:r>
      <w:r/>
    </w:p>
    <w:p>
      <w:pPr>
        <w:pStyle w:val="703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Запит на зміну включає - інсталяцію, налаштування, розробку, виконання регламентних робіт.</w:t>
      </w:r>
      <w:r/>
    </w:p>
    <w:p>
      <w:pPr>
        <w:pStyle w:val="703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Відновлення після аварії - масовий інцидент високого рівня впливу на ПАК, який викликаний позаштатною ситуацією в програмному та/або апаратному забезпеченні і який призвів до повної зупинки робочих процесів та ІТ-сервісів, які ці процеси забезпечують.</w:t>
      </w:r>
      <w:r/>
    </w:p>
    <w:p>
      <w:pPr>
        <w:ind w:firstLine="709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firstLine="709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Пріоритети</w:t>
      </w:r>
      <w:r/>
    </w:p>
    <w:p>
      <w:pPr>
        <w:pStyle w:val="703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Високий – один або кілька ключових сервісів та функцій не працює, що істотно впливає на бізнес процеси замовника, такого роду як: робота ПАК неможлива.</w:t>
      </w:r>
      <w:r/>
    </w:p>
    <w:p>
      <w:pPr>
        <w:pStyle w:val="703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Середній – один або кілька сервісів та функцій не працює або знижена їхня продуктивність, що чинить несуттєвий вплив на роботу ПАК, такого роду як: робота ПАК можлива з несуттєвим порушенням нормативних термінів, неможливо отримати неосновні послуги ПАК.</w:t>
      </w:r>
      <w:r/>
    </w:p>
    <w:p>
      <w:pPr>
        <w:pStyle w:val="703"/>
        <w:numPr>
          <w:ilvl w:val="0"/>
          <w:numId w:val="29"/>
        </w:numPr>
        <w:ind w:left="0" w:firstLine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Низький - Ряд сервісів та функцій не працює або знижена їхня продуктивність, що не впливає на роботу ПАК, є можливість заміни їхньої функціональності на альтернативні рішення.</w:t>
      </w:r>
      <w:r/>
    </w:p>
    <w:p>
      <w:pPr>
        <w:pStyle w:val="703"/>
        <w:ind w:left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  <w:r/>
    </w:p>
    <w:p>
      <w:pPr>
        <w:pStyle w:val="703"/>
        <w:ind w:left="0" w:right="1" w:firstLine="709"/>
        <w:spacing w:after="0" w:line="240" w:lineRule="auto"/>
        <w:shd w:val="clear" w:color="auto" w:fill="ffffff"/>
        <w:tabs>
          <w:tab w:val="center" w:pos="993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період виконання договору за Замовником має бути закріплені не менше ніж:</w:t>
      </w:r>
      <w:r/>
    </w:p>
    <w:p>
      <w:pPr>
        <w:pStyle w:val="703"/>
        <w:numPr>
          <w:ilvl w:val="0"/>
          <w:numId w:val="30"/>
        </w:numPr>
        <w:ind w:left="0" w:right="1" w:firstLine="709"/>
        <w:jc w:val="both"/>
        <w:spacing w:after="0" w:line="240" w:lineRule="auto"/>
        <w:shd w:val="clear" w:color="auto" w:fill="ffffff"/>
        <w:tabs>
          <w:tab w:val="center" w:pos="993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Виокремлений менеджер з обробки заявок і звернень</w:t>
      </w:r>
      <w:r/>
    </w:p>
    <w:p>
      <w:pPr>
        <w:pStyle w:val="703"/>
        <w:ind w:left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  <w:r/>
    </w:p>
    <w:p>
      <w:pPr>
        <w:pStyle w:val="703"/>
        <w:ind w:left="709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  <w:r/>
    </w:p>
    <w:p>
      <w:pPr>
        <w:pStyle w:val="703"/>
        <w:ind w:left="0" w:firstLine="567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Учасник якого визначено переможцем процедури закупівлі, пе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ред укладанням договору проводить 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 що підтверджує вартість вказаних послуг. У раз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 надання документу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за одиницю послуг (надати у складі тендерної документації гарантійний лист).</w:t>
      </w:r>
      <w:r/>
    </w:p>
    <w:p>
      <w:pPr>
        <w:jc w:val="both"/>
        <w:spacing w:after="12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торгів повинні належним чином здійснювати діяльність щодо предмету закупівлі. У зв’язку з цим для належного захисту інтересів Замовника щодо авторизованого джерела  постачання послуг за даними торгами учасники торгів повинні надати копію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</w:rPr>
        <w:t xml:space="preserve"> листа про повноваження від виробників або офіційних представників (</w:t>
      </w:r>
      <w:r>
        <w:rPr>
          <w:rFonts w:ascii="Times New Roman" w:hAnsi="Times New Roman" w:cs="Times New Roman"/>
          <w:sz w:val="24"/>
          <w:szCs w:val="24"/>
        </w:rPr>
        <w:t xml:space="preserve">дистрибьюторів</w:t>
      </w:r>
      <w:r>
        <w:rPr>
          <w:rFonts w:ascii="Times New Roman" w:hAnsi="Times New Roman" w:cs="Times New Roman"/>
          <w:sz w:val="24"/>
          <w:szCs w:val="24"/>
        </w:rPr>
        <w:t xml:space="preserve">) на територі</w:t>
      </w:r>
      <w:r>
        <w:rPr>
          <w:rFonts w:ascii="Times New Roman" w:hAnsi="Times New Roman" w:cs="Times New Roman"/>
          <w:sz w:val="24"/>
          <w:szCs w:val="24"/>
        </w:rPr>
        <w:t xml:space="preserve">ї України, що підтверджує право учасника торгів на постачання послуг у відповідності до позицій предмету закупівлі та  укладання договір про їх постачання на території України із обов’язковим зазначенням найменування та номеру даних торгів. У разі надання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</w:rPr>
        <w:t xml:space="preserve"> листа від виробника (-</w:t>
      </w:r>
      <w:r>
        <w:rPr>
          <w:rFonts w:ascii="Times New Roman" w:hAnsi="Times New Roman" w:cs="Times New Roman"/>
          <w:sz w:val="24"/>
          <w:szCs w:val="24"/>
        </w:rPr>
        <w:t xml:space="preserve">ів</w:t>
      </w:r>
      <w:r>
        <w:rPr>
          <w:rFonts w:ascii="Times New Roman" w:hAnsi="Times New Roman" w:cs="Times New Roman"/>
          <w:sz w:val="24"/>
          <w:szCs w:val="24"/>
        </w:rPr>
        <w:t xml:space="preserve">) іноземною мовою, цей лист повинен </w:t>
      </w:r>
      <w:r>
        <w:rPr>
          <w:rFonts w:ascii="Times New Roman" w:hAnsi="Times New Roman" w:cs="Times New Roman"/>
          <w:sz w:val="24"/>
          <w:szCs w:val="24"/>
        </w:rPr>
        <w:t xml:space="preserve">супроводжуватись перекладом на українську мову.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1 496 330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чотириста дев’яносто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тридцять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5"/>
  </w:num>
  <w:num w:numId="6">
    <w:abstractNumId w:val="20"/>
  </w:num>
  <w:num w:numId="7">
    <w:abstractNumId w:val="8"/>
  </w:num>
  <w:num w:numId="8">
    <w:abstractNumId w:val="22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1"/>
  </w:num>
  <w:num w:numId="17">
    <w:abstractNumId w:val="0"/>
  </w:num>
  <w:num w:numId="18">
    <w:abstractNumId w:val="23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8"/>
    <w:next w:val="6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0"/>
    <w:link w:val="699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8"/>
    <w:next w:val="6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8"/>
    <w:next w:val="6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8"/>
    <w:next w:val="6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8"/>
    <w:next w:val="6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8"/>
    <w:next w:val="6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8"/>
    <w:next w:val="6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8"/>
    <w:next w:val="6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98"/>
    <w:next w:val="6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0"/>
    <w:link w:val="33"/>
    <w:uiPriority w:val="10"/>
    <w:rPr>
      <w:sz w:val="48"/>
      <w:szCs w:val="48"/>
    </w:rPr>
  </w:style>
  <w:style w:type="paragraph" w:styleId="35">
    <w:name w:val="Subtitle"/>
    <w:basedOn w:val="698"/>
    <w:next w:val="6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0"/>
    <w:link w:val="35"/>
    <w:uiPriority w:val="11"/>
    <w:rPr>
      <w:sz w:val="24"/>
      <w:szCs w:val="24"/>
    </w:rPr>
  </w:style>
  <w:style w:type="paragraph" w:styleId="37">
    <w:name w:val="Quote"/>
    <w:basedOn w:val="698"/>
    <w:next w:val="6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8"/>
    <w:next w:val="6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0"/>
    <w:link w:val="41"/>
    <w:uiPriority w:val="99"/>
  </w:style>
  <w:style w:type="character" w:styleId="44">
    <w:name w:val="Footer Char"/>
    <w:basedOn w:val="700"/>
    <w:link w:val="709"/>
    <w:uiPriority w:val="99"/>
  </w:style>
  <w:style w:type="paragraph" w:styleId="45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9"/>
    <w:uiPriority w:val="99"/>
  </w:style>
  <w:style w:type="table" w:styleId="48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0"/>
    <w:uiPriority w:val="99"/>
    <w:unhideWhenUsed/>
    <w:rPr>
      <w:vertAlign w:val="superscript"/>
    </w:rPr>
  </w:style>
  <w:style w:type="paragraph" w:styleId="177">
    <w:name w:val="endnote text"/>
    <w:basedOn w:val="6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0"/>
    <w:uiPriority w:val="99"/>
    <w:semiHidden/>
    <w:unhideWhenUsed/>
    <w:rPr>
      <w:vertAlign w:val="superscript"/>
    </w:rPr>
  </w:style>
  <w:style w:type="paragraph" w:styleId="180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  <w:rPr>
      <w:lang w:val="uk-UA"/>
    </w:rPr>
  </w:style>
  <w:style w:type="paragraph" w:styleId="699">
    <w:name w:val="Heading 2"/>
    <w:basedOn w:val="698"/>
    <w:link w:val="71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List Paragraph"/>
    <w:basedOn w:val="698"/>
    <w:link w:val="70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4" w:customStyle="1">
    <w:name w:val="Абзац списку Знак"/>
    <w:link w:val="703"/>
    <w:uiPriority w:val="34"/>
    <w:rPr>
      <w:rFonts w:ascii="Calibri" w:hAnsi="Calibri" w:eastAsia="Calibri" w:cs="Calibri"/>
      <w:lang w:eastAsia="zh-CN"/>
    </w:rPr>
  </w:style>
  <w:style w:type="table" w:styleId="705">
    <w:name w:val="Table Grid"/>
    <w:basedOn w:val="7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Сетка таблицы2"/>
    <w:basedOn w:val="701"/>
    <w:next w:val="705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7">
    <w:name w:val="Normal (Web)"/>
    <w:basedOn w:val="698"/>
    <w:link w:val="714"/>
    <w:unhideWhenUsed/>
    <w:qFormat/>
    <w:rPr>
      <w:rFonts w:ascii="Times New Roman" w:hAnsi="Times New Roman" w:cs="Times New Roman"/>
      <w:sz w:val="24"/>
      <w:szCs w:val="24"/>
    </w:rPr>
  </w:style>
  <w:style w:type="table" w:styleId="708" w:customStyle="1">
    <w:name w:val="Сетка таблицы1"/>
    <w:basedOn w:val="701"/>
    <w:next w:val="705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9">
    <w:name w:val="Footer"/>
    <w:basedOn w:val="698"/>
    <w:link w:val="710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0" w:customStyle="1">
    <w:name w:val="Нижній колонтитул Знак"/>
    <w:basedOn w:val="700"/>
    <w:link w:val="709"/>
    <w:uiPriority w:val="99"/>
    <w:rPr>
      <w:rFonts w:ascii="Calibri" w:hAnsi="Calibri" w:eastAsia="Calibri" w:cs="Calibri"/>
      <w:lang w:eastAsia="zh-CN"/>
    </w:rPr>
  </w:style>
  <w:style w:type="paragraph" w:styleId="711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2">
    <w:name w:val="Hyperlink"/>
    <w:basedOn w:val="700"/>
    <w:uiPriority w:val="99"/>
    <w:unhideWhenUsed/>
    <w:rPr>
      <w:color w:val="0563c1" w:themeColor="hyperlink"/>
      <w:u w:val="single"/>
    </w:rPr>
  </w:style>
  <w:style w:type="character" w:styleId="713" w:customStyle="1">
    <w:name w:val="xfm_93972720"/>
    <w:basedOn w:val="700"/>
  </w:style>
  <w:style w:type="character" w:styleId="714" w:customStyle="1">
    <w:name w:val="Звичайний (веб) Знак"/>
    <w:link w:val="707"/>
    <w:qFormat/>
    <w:rPr>
      <w:rFonts w:ascii="Times New Roman" w:hAnsi="Times New Roman" w:cs="Times New Roman"/>
      <w:sz w:val="24"/>
      <w:szCs w:val="24"/>
      <w:lang w:val="uk-UA"/>
    </w:rPr>
  </w:style>
  <w:style w:type="paragraph" w:styleId="715">
    <w:name w:val="Body Text 2"/>
    <w:basedOn w:val="698"/>
    <w:link w:val="71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6" w:customStyle="1">
    <w:name w:val="Основний текст 2 Знак"/>
    <w:basedOn w:val="700"/>
    <w:link w:val="71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7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8" w:customStyle="1">
    <w:name w:val="Заголовок 2 Знак"/>
    <w:basedOn w:val="700"/>
    <w:link w:val="699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9">
    <w:name w:val="No Spacing"/>
    <w:link w:val="720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0" w:customStyle="1">
    <w:name w:val="Без інтервалів Знак"/>
    <w:basedOn w:val="700"/>
    <w:link w:val="719"/>
    <w:uiPriority w:val="1"/>
    <w:rPr>
      <w:rFonts w:ascii="Calibri" w:hAnsi="Calibri" w:eastAsia="Calibri" w:cs="Times New Roman"/>
      <w:lang w:val="uk-UA"/>
    </w:rPr>
  </w:style>
  <w:style w:type="character" w:styleId="721" w:customStyle="1">
    <w:name w:val="Другое_"/>
    <w:basedOn w:val="700"/>
    <w:link w:val="722"/>
    <w:rPr>
      <w:rFonts w:ascii="Calibri" w:hAnsi="Calibri" w:eastAsia="Calibri" w:cs="Calibri"/>
      <w:sz w:val="20"/>
      <w:szCs w:val="20"/>
    </w:rPr>
  </w:style>
  <w:style w:type="paragraph" w:styleId="722" w:customStyle="1">
    <w:name w:val="Другое"/>
    <w:basedOn w:val="698"/>
    <w:link w:val="721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23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24" w:customStyle="1">
    <w:name w:val="Основной текст (2)_"/>
    <w:basedOn w:val="700"/>
    <w:link w:val="725"/>
    <w:rPr>
      <w:rFonts w:eastAsia="Times New Roman" w:cs="Times New Roman"/>
      <w:shd w:val="clear" w:color="auto" w:fill="ffffff"/>
    </w:rPr>
  </w:style>
  <w:style w:type="paragraph" w:styleId="725" w:customStyle="1">
    <w:name w:val="Основной текст (2)"/>
    <w:basedOn w:val="698"/>
    <w:link w:val="724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26" w:customStyle="1">
    <w:name w:val="Текст у виносці Знак"/>
    <w:basedOn w:val="700"/>
    <w:link w:val="72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27">
    <w:name w:val="Balloon Text"/>
    <w:basedOn w:val="698"/>
    <w:link w:val="726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28" w:customStyle="1">
    <w:name w:val="Текст у виносці Знак1"/>
    <w:basedOn w:val="700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9" w:customStyle="1">
    <w:name w:val="T23"/>
    <w:rPr>
      <w:rFonts w:hint="default" w:ascii="Times New Roman" w:hAnsi="Times New Roman" w:eastAsia="Times New Roman1" w:cs="Times New Roman"/>
    </w:rPr>
  </w:style>
  <w:style w:type="paragraph" w:styleId="730" w:customStyle="1">
    <w:name w:val="Абзац списку1"/>
    <w:basedOn w:val="698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paragraph" w:styleId="731" w:customStyle="1">
    <w:name w:val="Обычный1"/>
    <w:basedOn w:val="698"/>
    <w:pPr>
      <w:jc w:val="both"/>
      <w:spacing w:before="100" w:after="0" w:line="256" w:lineRule="auto"/>
      <w:widowControl w:val="off"/>
    </w:pPr>
    <w:rPr>
      <w:rFonts w:ascii="Arial" w:hAnsi="Arial" w:eastAsia="Times New Roman" w:cs="Times New Roman"/>
      <w:b/>
      <w:sz w:val="18"/>
      <w:szCs w:val="20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2023-10-06T13:59:24Z</dcterms:modified>
</cp:coreProperties>
</file>