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722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Послуги із внесення відомостей про знищення/знесення зазначених об’єктів нерухомості до ЄДЕССБ, виготовлення довідки про знищення/знесення об’єктів нерухомого майна</w:t>
      </w:r>
      <w:r>
        <w:rPr>
          <w:b w:val="0"/>
          <w:bCs w:val="0"/>
          <w:color w:val="000000"/>
          <w:sz w:val="24"/>
          <w:szCs w:val="24"/>
        </w:rPr>
        <w:t xml:space="preserve"> за кодом CPV за ЄЗС ДК 021:2015: 71240000-2 «</w:t>
      </w:r>
      <w:r>
        <w:rPr>
          <w:b w:val="0"/>
          <w:sz w:val="24"/>
          <w:szCs w:val="24"/>
        </w:rPr>
        <w:t xml:space="preserve">Архітектурні, інженерні та планувальні послуги</w:t>
      </w:r>
      <w:r>
        <w:rPr>
          <w:b w:val="0"/>
          <w:bCs w:val="0"/>
          <w:color w:val="000000"/>
          <w:sz w:val="24"/>
          <w:szCs w:val="24"/>
        </w:rPr>
        <w:t xml:space="preserve">»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00</w:t>
      </w:r>
      <w:r>
        <w:rPr>
          <w:rFonts w:ascii="Times New Roman" w:hAnsi="Times New Roman" w:cs="Times New Roman"/>
          <w:sz w:val="24"/>
          <w:szCs w:val="24"/>
        </w:rPr>
        <w:t xml:space="preserve">1295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Послуги із внесення відомостей про знищення/знесення зазначених об’єктів нерухомості до ЄДЕССБ, виготовлення довідки про знищення/знесення об’єктів нерухомого майна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 кодом CPV за ЄЗС ДК 021:2015: 71240000-2 «</w:t>
      </w:r>
      <w:r>
        <w:rPr>
          <w:rFonts w:ascii="Times New Roman" w:hAnsi="Times New Roman" w:cs="Times New Roman"/>
          <w:sz w:val="24"/>
          <w:szCs w:val="24"/>
        </w:rPr>
        <w:t xml:space="preserve">Архітектурні, інженерні та планувальні послуги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</w:t>
      </w:r>
      <w:r/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ТЕХНІЧНЕ ЗАВДАННЯ</w:t>
      </w:r>
      <w:r/>
    </w:p>
    <w:p>
      <w:pPr>
        <w:jc w:val="center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Інформація про необхідні технічні, якісні та кількісні характеристики </w:t>
      </w:r>
      <w:r/>
    </w:p>
    <w:p>
      <w:pPr>
        <w:jc w:val="center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предмета закупівлі</w:t>
      </w:r>
      <w:r/>
    </w:p>
    <w:tbl>
      <w:tblPr>
        <w:tblW w:w="5000" w:type="pct"/>
        <w:tblLayout w:type="fixed"/>
        <w:tblCellMar>
          <w:left w:w="100" w:type="dxa"/>
          <w:top w:w="100" w:type="dxa"/>
          <w:right w:w="100" w:type="dxa"/>
          <w:bottom w:w="100" w:type="dxa"/>
        </w:tblCellMar>
        <w:tblLook w:val="0600" w:firstRow="0" w:lastRow="0" w:firstColumn="0" w:lastColumn="0" w:noHBand="1" w:noVBand="1"/>
      </w:tblPr>
      <w:tblGrid>
        <w:gridCol w:w="4376"/>
        <w:gridCol w:w="5241"/>
      </w:tblGrid>
      <w:tr>
        <w:trPr>
          <w:trHeight w:val="896"/>
        </w:trPr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75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 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700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left" w:pos="522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Надання Висновку з технічної інвентаризації (Довідка про знищення/знесення майна) на об’єкти нерухомості (нежитлові будівлі), внесення інформації про проведену технічну інвентаризацію до Єдиної державної електронної системи у сфері будівництва</w:t>
            </w:r>
            <w:bookmarkStart w:id="0" w:name="_Hlk161168300"/>
            <w:r/>
            <w:bookmarkEnd w:id="0"/>
            <w:r/>
            <w:r/>
          </w:p>
        </w:tc>
      </w:tr>
      <w:tr>
        <w:trPr>
          <w:trHeight w:val="243"/>
        </w:trPr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75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ДК 021:2015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700" w:type="dxa"/>
            <w:textDirection w:val="lrTb"/>
            <w:noWrap w:val="false"/>
          </w:tcPr>
          <w:p>
            <w:pPr>
              <w:pStyle w:val="744"/>
              <w:widowControl w:val="off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/>
            <w:bookmarkStart w:id="1" w:name="_Hlk144228854"/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71240000-2: Архітектурні, інженерні та планувальні послуги</w:t>
            </w:r>
            <w:bookmarkEnd w:id="1"/>
            <w:r/>
            <w:r/>
          </w:p>
        </w:tc>
      </w:tr>
      <w:tr>
        <w:trPr>
          <w:trHeight w:val="25"/>
        </w:trPr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75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Строк надання послуг</w:t>
            </w:r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70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17.05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.2024 </w:t>
            </w:r>
            <w:r/>
          </w:p>
        </w:tc>
      </w:tr>
    </w:tbl>
    <w:p>
      <w:pPr>
        <w:pStyle w:val="74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74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Учасник зобов’язується надати </w:t>
      </w:r>
      <w:r>
        <w:rPr>
          <w:rFonts w:ascii="Times New Roman" w:hAnsi="Times New Roman" w:eastAsia="Times New Roman"/>
          <w:sz w:val="24"/>
          <w:szCs w:val="24"/>
        </w:rPr>
        <w:t xml:space="preserve">П</w:t>
      </w:r>
      <w:r>
        <w:rPr>
          <w:rFonts w:ascii="Times New Roman" w:hAnsi="Times New Roman"/>
          <w:sz w:val="24"/>
          <w:szCs w:val="24"/>
        </w:rPr>
        <w:t xml:space="preserve">ослуги з виготовлення технічних паспортів на об’єкти нерухомого майна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(надати гарантійний лист)</w:t>
      </w:r>
      <w:r>
        <w:rPr>
          <w:rFonts w:ascii="Times New Roman" w:hAnsi="Times New Roman"/>
          <w:sz w:val="24"/>
          <w:szCs w:val="24"/>
        </w:rPr>
        <w:t xml:space="preserve">, а саме:</w:t>
      </w:r>
      <w:r/>
    </w:p>
    <w:p>
      <w:pPr>
        <w:pStyle w:val="744"/>
        <w:numPr>
          <w:ilvl w:val="0"/>
          <w:numId w:val="39"/>
        </w:numPr>
        <w:ind w:left="0" w:firstLine="567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виконати інвентаризацію об’єктів нерухомого майна (зафіксувати факт знищення об’єктів нерухомого майна);</w:t>
      </w:r>
      <w:r/>
    </w:p>
    <w:p>
      <w:pPr>
        <w:pStyle w:val="744"/>
        <w:numPr>
          <w:ilvl w:val="0"/>
          <w:numId w:val="39"/>
        </w:numPr>
        <w:ind w:left="0" w:firstLine="567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створити ідентифікатори об’єктів нерухомого майна;</w:t>
      </w:r>
      <w:r/>
    </w:p>
    <w:p>
      <w:pPr>
        <w:pStyle w:val="744"/>
        <w:numPr>
          <w:ilvl w:val="0"/>
          <w:numId w:val="39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1" w:tooltip="https://e-construction.gov.ua/document/optype=33" w:history="1">
        <w:r>
          <w:rPr>
            <w:rFonts w:ascii="Times New Roman" w:hAnsi="Times New Roman"/>
            <w:sz w:val="24"/>
            <w:szCs w:val="24"/>
          </w:rPr>
          <w:t xml:space="preserve">висновок з технічної інвентаризації</w:t>
        </w:r>
      </w:hyperlink>
      <w:r>
        <w:rPr>
          <w:rFonts w:ascii="Times New Roman" w:hAnsi="Times New Roman"/>
          <w:sz w:val="24"/>
          <w:szCs w:val="24"/>
        </w:rPr>
        <w:t xml:space="preserve"> до Єдиної державної електронної системи у сфері будівництва;</w:t>
      </w:r>
      <w:r/>
    </w:p>
    <w:p>
      <w:pPr>
        <w:pStyle w:val="744"/>
        <w:numPr>
          <w:ilvl w:val="0"/>
          <w:numId w:val="39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видати витяг (</w:t>
      </w:r>
      <w:r>
        <w:rPr>
          <w:rFonts w:ascii="Times New Roman" w:hAnsi="Times New Roman" w:eastAsia="Times New Roman"/>
          <w:sz w:val="24"/>
          <w:szCs w:val="24"/>
        </w:rPr>
        <w:t xml:space="preserve">Довідку про знищення/знесення об’єкта нерухомого майна</w:t>
      </w:r>
      <w:r>
        <w:rPr>
          <w:rFonts w:ascii="Times New Roman" w:hAnsi="Times New Roman"/>
          <w:sz w:val="24"/>
          <w:szCs w:val="24"/>
        </w:rPr>
        <w:t xml:space="preserve">) з Єдиної державної електронної системи у сфері будівництва з  реєстраційним номером на об’єкти нерухомого майна.</w:t>
      </w:r>
      <w:r/>
    </w:p>
    <w:p>
      <w:pPr>
        <w:pStyle w:val="744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966"/>
        <w:gridCol w:w="4365"/>
        <w:gridCol w:w="1296"/>
      </w:tblGrid>
      <w:tr>
        <w:trPr/>
        <w:tc>
          <w:tcPr>
            <w:shd w:val="clear" w:color="auto" w:fill="auto"/>
            <w:tcW w:w="4106" w:type="dxa"/>
            <w:vAlign w:val="center"/>
            <w:textDirection w:val="lrTb"/>
            <w:noWrap w:val="false"/>
          </w:tcPr>
          <w:p>
            <w:pPr>
              <w:pStyle w:val="744"/>
              <w:jc w:val="both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Адреси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об’єктів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нерухомого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майна</w:t>
            </w:r>
            <w:r/>
          </w:p>
        </w:tc>
        <w:tc>
          <w:tcPr>
            <w:shd w:val="clear" w:color="auto" w:fill="auto"/>
            <w:tcW w:w="4521" w:type="dxa"/>
            <w:vAlign w:val="center"/>
            <w:textDirection w:val="lrTb"/>
            <w:noWrap w:val="false"/>
          </w:tcPr>
          <w:p>
            <w:pPr>
              <w:pStyle w:val="744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Найменування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будівлі</w:t>
            </w:r>
            <w:r/>
          </w:p>
        </w:tc>
        <w:tc>
          <w:tcPr>
            <w:shd w:val="clear" w:color="auto" w:fill="auto"/>
            <w:tcW w:w="133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Кількість, (будівель)</w:t>
            </w:r>
            <w:r/>
          </w:p>
        </w:tc>
      </w:tr>
      <w:tr>
        <w:trPr/>
        <w:tc>
          <w:tcPr>
            <w:shd w:val="clear" w:color="auto" w:fill="auto"/>
            <w:tcW w:w="410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left" w:pos="522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вул. Волинська, 26, літ. В, м. Київ</w:t>
            </w:r>
            <w:r/>
          </w:p>
        </w:tc>
        <w:tc>
          <w:tcPr>
            <w:shd w:val="clear" w:color="auto" w:fill="auto"/>
            <w:tcW w:w="4521" w:type="dxa"/>
            <w:vAlign w:val="center"/>
            <w:textDirection w:val="lrTb"/>
            <w:noWrap w:val="false"/>
          </w:tcPr>
          <w:p>
            <w:pPr>
              <w:pStyle w:val="744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Складські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приміщення</w:t>
            </w:r>
            <w:r/>
          </w:p>
        </w:tc>
        <w:tc>
          <w:tcPr>
            <w:shd w:val="clear" w:color="auto" w:fill="auto"/>
            <w:tcW w:w="1336" w:type="dxa"/>
            <w:vAlign w:val="center"/>
            <w:textDirection w:val="lrTb"/>
            <w:noWrap w:val="false"/>
          </w:tcPr>
          <w:p>
            <w:pPr>
              <w:pStyle w:val="744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1</w:t>
            </w:r>
            <w:r/>
          </w:p>
        </w:tc>
      </w:tr>
      <w:tr>
        <w:trPr/>
        <w:tc>
          <w:tcPr>
            <w:shd w:val="clear" w:color="auto" w:fill="auto"/>
            <w:tcW w:w="4106" w:type="dxa"/>
            <w:vAlign w:val="center"/>
            <w:textDirection w:val="lrTb"/>
            <w:noWrap w:val="false"/>
          </w:tcPr>
          <w:p>
            <w:pPr>
              <w:pStyle w:val="744"/>
              <w:jc w:val="both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вул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. 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Волинська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, 26,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літ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. Г, м.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Київ</w:t>
            </w:r>
            <w:r/>
          </w:p>
        </w:tc>
        <w:tc>
          <w:tcPr>
            <w:shd w:val="clear" w:color="auto" w:fill="auto"/>
            <w:tcW w:w="4521" w:type="dxa"/>
            <w:vAlign w:val="center"/>
            <w:textDirection w:val="lrTb"/>
            <w:noWrap w:val="false"/>
          </w:tcPr>
          <w:p>
            <w:pPr>
              <w:pStyle w:val="744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Гаражний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 бокс</w:t>
            </w:r>
            <w:r/>
          </w:p>
        </w:tc>
        <w:tc>
          <w:tcPr>
            <w:shd w:val="clear" w:color="auto" w:fill="auto"/>
            <w:tcW w:w="1336" w:type="dxa"/>
            <w:vAlign w:val="center"/>
            <w:textDirection w:val="lrTb"/>
            <w:noWrap w:val="false"/>
          </w:tcPr>
          <w:p>
            <w:pPr>
              <w:pStyle w:val="744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1</w:t>
            </w:r>
            <w:r/>
          </w:p>
        </w:tc>
      </w:tr>
      <w:tr>
        <w:trPr/>
        <w:tc>
          <w:tcPr>
            <w:shd w:val="clear" w:color="auto" w:fill="auto"/>
            <w:tcW w:w="4106" w:type="dxa"/>
            <w:vAlign w:val="center"/>
            <w:textDirection w:val="lrTb"/>
            <w:noWrap w:val="false"/>
          </w:tcPr>
          <w:p>
            <w:pPr>
              <w:pStyle w:val="744"/>
              <w:jc w:val="both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вул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. 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Волинська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, 26,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літ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. Д, м.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Київ</w:t>
            </w:r>
            <w:r/>
          </w:p>
        </w:tc>
        <w:tc>
          <w:tcPr>
            <w:shd w:val="clear" w:color="auto" w:fill="auto"/>
            <w:tcW w:w="4521" w:type="dxa"/>
            <w:vAlign w:val="center"/>
            <w:textDirection w:val="lrTb"/>
            <w:noWrap w:val="false"/>
          </w:tcPr>
          <w:p>
            <w:pPr>
              <w:pStyle w:val="744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Будівля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деревообробного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 цеху №1</w:t>
            </w:r>
            <w:r/>
          </w:p>
        </w:tc>
        <w:tc>
          <w:tcPr>
            <w:shd w:val="clear" w:color="auto" w:fill="auto"/>
            <w:tcW w:w="1336" w:type="dxa"/>
            <w:vAlign w:val="center"/>
            <w:textDirection w:val="lrTb"/>
            <w:noWrap w:val="false"/>
          </w:tcPr>
          <w:p>
            <w:pPr>
              <w:pStyle w:val="744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 xml:space="preserve">1</w:t>
            </w:r>
            <w:r/>
          </w:p>
        </w:tc>
      </w:tr>
      <w:tr>
        <w:trPr/>
        <w:tc>
          <w:tcPr>
            <w:gridSpan w:val="2"/>
            <w:shd w:val="clear" w:color="auto" w:fill="auto"/>
            <w:tcW w:w="8627" w:type="dxa"/>
            <w:vAlign w:val="center"/>
            <w:textDirection w:val="lrTb"/>
            <w:noWrap w:val="false"/>
          </w:tcPr>
          <w:p>
            <w:pPr>
              <w:pStyle w:val="744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РАЗОМ</w:t>
            </w:r>
            <w:r/>
          </w:p>
        </w:tc>
        <w:tc>
          <w:tcPr>
            <w:shd w:val="clear" w:color="auto" w:fill="auto"/>
            <w:tcW w:w="1336" w:type="dxa"/>
            <w:vAlign w:val="center"/>
            <w:textDirection w:val="lrTb"/>
            <w:noWrap w:val="false"/>
          </w:tcPr>
          <w:p>
            <w:pPr>
              <w:pStyle w:val="744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3</w:t>
            </w:r>
            <w:r/>
          </w:p>
        </w:tc>
      </w:tr>
    </w:tbl>
    <w:p>
      <w:pPr>
        <w:pStyle w:val="74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74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Якість наданих послуг повинна відповідати вимогам діючого законодавства України, зокрема:</w:t>
      </w:r>
      <w:r/>
    </w:p>
    <w:p>
      <w:pPr>
        <w:pStyle w:val="744"/>
        <w:ind w:firstLine="709"/>
        <w:jc w:val="both"/>
        <w:rPr>
          <w:rFonts w:ascii="Times New Roman" w:hAnsi="Times New Roman"/>
          <w:sz w:val="24"/>
          <w:szCs w:val="24"/>
          <w:lang w:val="ru-RU"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Закону України </w:t>
      </w:r>
      <w:r>
        <w:rPr>
          <w:rFonts w:ascii="Times New Roman" w:hAnsi="Times New Roman"/>
          <w:sz w:val="24"/>
          <w:szCs w:val="24"/>
          <w:lang w:val="ru-RU" w:eastAsia="ar-SA"/>
        </w:rPr>
        <w:t xml:space="preserve">“</w:t>
      </w:r>
      <w:r>
        <w:rPr>
          <w:rFonts w:ascii="Times New Roman" w:hAnsi="Times New Roman"/>
          <w:sz w:val="24"/>
          <w:szCs w:val="24"/>
          <w:lang w:eastAsia="ar-SA"/>
        </w:rPr>
        <w:t xml:space="preserve">Про регулювання містобудівної діяльності</w:t>
      </w:r>
      <w:r>
        <w:rPr>
          <w:rFonts w:ascii="Times New Roman" w:hAnsi="Times New Roman"/>
          <w:sz w:val="24"/>
          <w:szCs w:val="24"/>
          <w:lang w:val="ru-RU" w:eastAsia="ar-SA"/>
        </w:rPr>
        <w:t xml:space="preserve">”;</w:t>
      </w:r>
      <w:r/>
    </w:p>
    <w:p>
      <w:pPr>
        <w:pStyle w:val="744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Порядку проведення технічної інвентаризації, затвердженого постановою Кабінету Міністрів України від 12.05.2023 № 488;</w:t>
      </w:r>
      <w:r/>
    </w:p>
    <w:p>
      <w:pPr>
        <w:pStyle w:val="74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Постанові Кабінету Міністрів України від 23.06.2021 № 681 “Деякі питання забезпечення функціонування Єдиної державної електронної системи у сфері будівництва” (із змінами);</w:t>
      </w:r>
      <w:r/>
    </w:p>
    <w:p>
      <w:pPr>
        <w:pStyle w:val="74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Постанові Кабінету Міністрів України від 23.05.2011 № 554 “Деякі питання професійної атестації виконавців окремих видів робіт (послуг), пов'язаних із створенням об'єктів архітектури”</w:t>
      </w:r>
      <w:r/>
    </w:p>
    <w:p>
      <w:pPr>
        <w:pStyle w:val="74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Постанові Кабінету Міністрів України від 04.06.2015 № 374 “Про затвердження переліку категорій законодавчо регульованих засобів вимірювальної техніки, що підлягають періодичній повірці”;</w:t>
      </w:r>
      <w:r/>
    </w:p>
    <w:p>
      <w:pPr>
        <w:pStyle w:val="74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Постанові Кабінету Міністрів України від 04.06.2015 № 374 “Про затвердження переліку категорій законодавчо врегульованих засобів вимірювальної техніки, що підлягають періодичній повірці”;</w:t>
      </w:r>
      <w:r/>
    </w:p>
    <w:p>
      <w:pPr>
        <w:pStyle w:val="74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Закону України </w:t>
      </w:r>
      <w:r>
        <w:rPr>
          <w:rFonts w:ascii="Times New Roman" w:hAnsi="Times New Roman"/>
          <w:sz w:val="24"/>
          <w:szCs w:val="24"/>
          <w:lang w:val="ru-RU"/>
        </w:rPr>
        <w:t xml:space="preserve">“</w:t>
      </w:r>
      <w:r>
        <w:rPr>
          <w:rFonts w:ascii="Times New Roman" w:hAnsi="Times New Roman"/>
          <w:sz w:val="24"/>
          <w:szCs w:val="24"/>
        </w:rPr>
        <w:t xml:space="preserve">Про державну реєстрацію речових прав на нерухоме майно та їх обтяжень” від 01.07.2004 № 1952-IV;</w:t>
      </w:r>
      <w:r/>
    </w:p>
    <w:p>
      <w:pPr>
        <w:pStyle w:val="74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Інших вимог законодавства, чинного на момент надання послуг, інших вимог законодавства, чинного на момент надання послуг.</w:t>
      </w:r>
      <w:bookmarkStart w:id="2" w:name="_Hlk87007729"/>
      <w:r/>
      <w:bookmarkEnd w:id="2"/>
      <w:r/>
      <w:r/>
    </w:p>
    <w:p>
      <w:pPr>
        <w:numPr>
          <w:ilvl w:val="6"/>
          <w:numId w:val="37"/>
        </w:numPr>
        <w:ind w:left="0" w:firstLine="709"/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</w:r>
      <w:r/>
    </w:p>
    <w:p>
      <w:pPr>
        <w:numPr>
          <w:ilvl w:val="6"/>
          <w:numId w:val="37"/>
        </w:numPr>
        <w:ind w:left="0" w:firstLine="709"/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Cs/>
          <w:spacing w:val="-1"/>
          <w:sz w:val="24"/>
          <w:szCs w:val="24"/>
          <w:lang w:eastAsia="ru-RU"/>
        </w:rPr>
        <w:t xml:space="preserve">Вимоги до якості послуг, що надаються:</w:t>
      </w:r>
      <w:r/>
    </w:p>
    <w:p>
      <w:pPr>
        <w:pStyle w:val="728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Послуги</w:t>
      </w:r>
      <w:r>
        <w:rPr>
          <w:rFonts w:ascii="Times New Roman" w:hAnsi="Times New Roman" w:cs="Times New Roman"/>
          <w:sz w:val="24"/>
          <w:szCs w:val="24"/>
        </w:rPr>
        <w:t xml:space="preserve"> з </w:t>
      </w:r>
      <w:r>
        <w:rPr>
          <w:rFonts w:ascii="Times New Roman" w:hAnsi="Times New Roman" w:cs="Times New Roman"/>
          <w:sz w:val="24"/>
          <w:szCs w:val="24"/>
        </w:rPr>
        <w:t xml:space="preserve">технічної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інвентаризації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об’єктів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нерухомого</w:t>
      </w:r>
      <w:r>
        <w:rPr>
          <w:rFonts w:ascii="Times New Roman" w:hAnsi="Times New Roman" w:cs="Times New Roman"/>
          <w:sz w:val="24"/>
          <w:szCs w:val="24"/>
        </w:rPr>
        <w:t xml:space="preserve"> майна </w:t>
      </w:r>
      <w:r>
        <w:rPr>
          <w:rFonts w:ascii="Times New Roman" w:hAnsi="Times New Roman" w:cs="Times New Roman"/>
          <w:sz w:val="24"/>
          <w:szCs w:val="24"/>
        </w:rPr>
        <w:t xml:space="preserve">складаються</w:t>
      </w:r>
      <w:r>
        <w:rPr>
          <w:rFonts w:ascii="Times New Roman" w:hAnsi="Times New Roman" w:cs="Times New Roman"/>
          <w:sz w:val="24"/>
          <w:szCs w:val="24"/>
        </w:rPr>
        <w:t xml:space="preserve"> з </w:t>
      </w:r>
      <w:r>
        <w:rPr>
          <w:rFonts w:ascii="Times New Roman" w:hAnsi="Times New Roman" w:cs="Times New Roman"/>
          <w:sz w:val="24"/>
          <w:szCs w:val="24"/>
        </w:rPr>
        <w:t xml:space="preserve">наступного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/>
    </w:p>
    <w:p>
      <w:pPr>
        <w:pStyle w:val="765"/>
        <w:numPr>
          <w:ilvl w:val="0"/>
          <w:numId w:val="38"/>
        </w:numPr>
        <w:ind w:left="0" w:firstLine="709"/>
        <w:jc w:val="both"/>
        <w:spacing w:before="0" w:beforeAutospacing="0" w:after="0" w:afterAutospacing="0"/>
        <w:shd w:val="clear" w:color="auto" w:fill="ffffff"/>
      </w:pPr>
      <w:r>
        <w:t xml:space="preserve">підготовка</w:t>
      </w:r>
      <w:r>
        <w:t xml:space="preserve"> </w:t>
      </w:r>
      <w:r>
        <w:t xml:space="preserve">до</w:t>
      </w:r>
      <w:r>
        <w:t xml:space="preserve"> </w:t>
      </w:r>
      <w:r>
        <w:t xml:space="preserve">обстеження</w:t>
      </w:r>
      <w:r>
        <w:t xml:space="preserve"> </w:t>
      </w:r>
      <w:r>
        <w:t xml:space="preserve">об’єктів</w:t>
      </w:r>
      <w:r>
        <w:t xml:space="preserve"> </w:t>
      </w:r>
      <w:r>
        <w:t xml:space="preserve">нерухомого</w:t>
      </w:r>
      <w:r>
        <w:t xml:space="preserve"> </w:t>
      </w:r>
      <w:r>
        <w:t xml:space="preserve">майна</w:t>
      </w:r>
      <w:r>
        <w:t xml:space="preserve"> (</w:t>
      </w:r>
      <w:r>
        <w:t xml:space="preserve">вивчення</w:t>
      </w:r>
      <w:r>
        <w:t xml:space="preserve"> </w:t>
      </w:r>
      <w:r>
        <w:t xml:space="preserve">документів</w:t>
      </w:r>
      <w:r>
        <w:t xml:space="preserve">, </w:t>
      </w:r>
      <w:r>
        <w:t xml:space="preserve">що</w:t>
      </w:r>
      <w:r>
        <w:t xml:space="preserve"> </w:t>
      </w:r>
      <w:r>
        <w:t xml:space="preserve">стосуються</w:t>
      </w:r>
      <w:r>
        <w:t xml:space="preserve"> </w:t>
      </w:r>
      <w:r>
        <w:t xml:space="preserve">інвентаризації</w:t>
      </w:r>
      <w:r>
        <w:t xml:space="preserve">);</w:t>
      </w:r>
      <w:r/>
    </w:p>
    <w:p>
      <w:pPr>
        <w:pStyle w:val="765"/>
        <w:numPr>
          <w:ilvl w:val="0"/>
          <w:numId w:val="38"/>
        </w:numPr>
        <w:ind w:left="0" w:firstLine="709"/>
        <w:jc w:val="both"/>
        <w:spacing w:before="0" w:beforeAutospacing="0" w:after="0" w:afterAutospacing="0"/>
        <w:shd w:val="clear" w:color="auto" w:fill="ffffff"/>
      </w:pPr>
      <w:r/>
      <w:bookmarkStart w:id="3" w:name="n105"/>
      <w:r/>
      <w:bookmarkEnd w:id="3"/>
      <w:r>
        <w:t xml:space="preserve">виїзд</w:t>
      </w:r>
      <w:r>
        <w:t xml:space="preserve"> </w:t>
      </w:r>
      <w:r>
        <w:t xml:space="preserve">техніка</w:t>
      </w:r>
      <w:r>
        <w:t xml:space="preserve"> </w:t>
      </w:r>
      <w:r>
        <w:t xml:space="preserve">та</w:t>
      </w:r>
      <w:r>
        <w:t xml:space="preserve"> </w:t>
      </w:r>
      <w:r>
        <w:t xml:space="preserve">обстеження</w:t>
      </w:r>
      <w:r>
        <w:t xml:space="preserve"> </w:t>
      </w:r>
      <w:r>
        <w:t xml:space="preserve">об’єктів</w:t>
      </w:r>
      <w:r>
        <w:t xml:space="preserve"> </w:t>
      </w:r>
      <w:r>
        <w:t xml:space="preserve">нерухомого</w:t>
      </w:r>
      <w:r>
        <w:t xml:space="preserve"> </w:t>
      </w:r>
      <w:r>
        <w:t xml:space="preserve">майна</w:t>
      </w:r>
      <w:r>
        <w:t xml:space="preserve">;</w:t>
      </w:r>
      <w:r/>
    </w:p>
    <w:p>
      <w:pPr>
        <w:pStyle w:val="765"/>
        <w:numPr>
          <w:ilvl w:val="0"/>
          <w:numId w:val="38"/>
        </w:numPr>
        <w:ind w:left="0" w:firstLine="709"/>
        <w:jc w:val="both"/>
        <w:spacing w:before="0" w:beforeAutospacing="0" w:after="0" w:afterAutospacing="0"/>
        <w:shd w:val="clear" w:color="auto" w:fill="ffffff"/>
      </w:pPr>
      <w:r/>
      <w:bookmarkStart w:id="4" w:name="n106"/>
      <w:r/>
      <w:bookmarkEnd w:id="4"/>
      <w:r>
        <w:t xml:space="preserve">проведення</w:t>
      </w:r>
      <w:r>
        <w:t xml:space="preserve"> </w:t>
      </w:r>
      <w:r>
        <w:t xml:space="preserve">вимірювальних</w:t>
      </w:r>
      <w:r>
        <w:t xml:space="preserve"> </w:t>
      </w:r>
      <w:r>
        <w:t xml:space="preserve">робіт</w:t>
      </w:r>
      <w:r>
        <w:t xml:space="preserve"> (</w:t>
      </w:r>
      <w:r>
        <w:t xml:space="preserve">за</w:t>
      </w:r>
      <w:r>
        <w:t xml:space="preserve"> </w:t>
      </w:r>
      <w:r>
        <w:t xml:space="preserve">необхідності</w:t>
      </w:r>
      <w:r>
        <w:t xml:space="preserve">) </w:t>
      </w:r>
      <w:r>
        <w:t xml:space="preserve">та</w:t>
      </w:r>
      <w:r>
        <w:t xml:space="preserve"> </w:t>
      </w:r>
      <w:r>
        <w:t xml:space="preserve">фотофіксації</w:t>
      </w:r>
      <w:r>
        <w:t xml:space="preserve">;</w:t>
      </w:r>
      <w:r/>
    </w:p>
    <w:p>
      <w:pPr>
        <w:pStyle w:val="765"/>
        <w:numPr>
          <w:ilvl w:val="0"/>
          <w:numId w:val="38"/>
        </w:numPr>
        <w:ind w:left="0" w:firstLine="709"/>
        <w:jc w:val="both"/>
        <w:spacing w:before="0" w:beforeAutospacing="0" w:after="0" w:afterAutospacing="0"/>
        <w:shd w:val="clear" w:color="auto" w:fill="ffffff"/>
      </w:pPr>
      <w:r/>
      <w:bookmarkStart w:id="5" w:name="n107"/>
      <w:r/>
      <w:bookmarkEnd w:id="5"/>
      <w:r>
        <w:t xml:space="preserve">визначення</w:t>
      </w:r>
      <w:r>
        <w:t xml:space="preserve"> </w:t>
      </w:r>
      <w:r>
        <w:t xml:space="preserve">конструктивних</w:t>
      </w:r>
      <w:r>
        <w:t xml:space="preserve"> </w:t>
      </w:r>
      <w:r>
        <w:t xml:space="preserve">елементів</w:t>
      </w:r>
      <w:r>
        <w:t xml:space="preserve"> </w:t>
      </w:r>
      <w:r>
        <w:t xml:space="preserve">об’єктів</w:t>
      </w:r>
      <w:r>
        <w:t xml:space="preserve"> </w:t>
      </w:r>
      <w:r>
        <w:t xml:space="preserve">нерухомого</w:t>
      </w:r>
      <w:r>
        <w:t xml:space="preserve"> </w:t>
      </w:r>
      <w:r>
        <w:t xml:space="preserve">майна</w:t>
      </w:r>
      <w:r>
        <w:t xml:space="preserve"> (</w:t>
      </w:r>
      <w:r>
        <w:t xml:space="preserve">встановлення</w:t>
      </w:r>
      <w:r>
        <w:t xml:space="preserve"> </w:t>
      </w:r>
      <w:r>
        <w:t xml:space="preserve">факту</w:t>
      </w:r>
      <w:r>
        <w:t xml:space="preserve"> </w:t>
      </w:r>
      <w:r>
        <w:t xml:space="preserve">знищення</w:t>
      </w:r>
      <w:r>
        <w:t xml:space="preserve"> </w:t>
      </w:r>
      <w:r>
        <w:t xml:space="preserve">об’єктів</w:t>
      </w:r>
      <w:r>
        <w:t xml:space="preserve"> </w:t>
      </w:r>
      <w:r>
        <w:t xml:space="preserve">нерухомого</w:t>
      </w:r>
      <w:r>
        <w:t xml:space="preserve"> </w:t>
      </w:r>
      <w:r>
        <w:t xml:space="preserve">майна</w:t>
      </w:r>
      <w:r>
        <w:t xml:space="preserve">);</w:t>
      </w:r>
      <w:bookmarkStart w:id="6" w:name="n108"/>
      <w:r/>
      <w:bookmarkEnd w:id="6"/>
      <w:r/>
      <w:r/>
    </w:p>
    <w:p>
      <w:pPr>
        <w:pStyle w:val="765"/>
        <w:numPr>
          <w:ilvl w:val="0"/>
          <w:numId w:val="38"/>
        </w:numPr>
        <w:ind w:left="0" w:firstLine="709"/>
        <w:jc w:val="both"/>
        <w:spacing w:before="0" w:beforeAutospacing="0" w:after="0" w:afterAutospacing="0"/>
        <w:shd w:val="clear" w:color="auto" w:fill="ffffff"/>
      </w:pPr>
      <w:r>
        <w:t xml:space="preserve">оформлення</w:t>
      </w:r>
      <w:r>
        <w:t xml:space="preserve"> </w:t>
      </w:r>
      <w:r>
        <w:t xml:space="preserve">результатів</w:t>
      </w:r>
      <w:r>
        <w:t xml:space="preserve"> </w:t>
      </w:r>
      <w:r>
        <w:t xml:space="preserve">технічної</w:t>
      </w:r>
      <w:r>
        <w:t xml:space="preserve"> </w:t>
      </w:r>
      <w:r>
        <w:t xml:space="preserve">інвентаризації</w:t>
      </w:r>
      <w:r>
        <w:t xml:space="preserve"> (</w:t>
      </w:r>
      <w:r>
        <w:t xml:space="preserve">створення</w:t>
      </w:r>
      <w:r>
        <w:t xml:space="preserve"> </w:t>
      </w:r>
      <w:r>
        <w:t xml:space="preserve">ідентифікаторів</w:t>
      </w:r>
      <w:r>
        <w:t xml:space="preserve"> </w:t>
      </w:r>
      <w:r>
        <w:t xml:space="preserve">об’єктів</w:t>
      </w:r>
      <w:r>
        <w:t xml:space="preserve"> </w:t>
      </w:r>
      <w:r>
        <w:t xml:space="preserve">нерухомого</w:t>
      </w:r>
      <w:r>
        <w:t xml:space="preserve"> </w:t>
      </w:r>
      <w:r>
        <w:t xml:space="preserve">майна</w:t>
      </w:r>
      <w:r>
        <w:t xml:space="preserve">; </w:t>
      </w:r>
      <w:r>
        <w:t xml:space="preserve">внесення</w:t>
      </w:r>
      <w:r>
        <w:t xml:space="preserve"> </w:t>
      </w:r>
      <w:hyperlink r:id="rId12" w:tooltip="https://e-construction.gov.ua/document/optype=33" w:history="1">
        <w:r>
          <w:t xml:space="preserve">висновку</w:t>
        </w:r>
        <w:r>
          <w:t xml:space="preserve"> з </w:t>
        </w:r>
        <w:r>
          <w:t xml:space="preserve">технічної</w:t>
        </w:r>
        <w:r>
          <w:t xml:space="preserve"> </w:t>
        </w:r>
        <w:r>
          <w:t xml:space="preserve">інвентаризації</w:t>
        </w:r>
      </w:hyperlink>
      <w:r>
        <w:t xml:space="preserve"> </w:t>
      </w:r>
      <w:r>
        <w:t xml:space="preserve">до</w:t>
      </w:r>
      <w:r>
        <w:t xml:space="preserve"> ЄДЕССБ; </w:t>
      </w:r>
      <w:r>
        <w:t xml:space="preserve">видача</w:t>
      </w:r>
      <w:r>
        <w:t xml:space="preserve"> </w:t>
      </w:r>
      <w:r>
        <w:t xml:space="preserve">витягу</w:t>
      </w:r>
      <w:r>
        <w:t xml:space="preserve"> (</w:t>
      </w:r>
      <w:r>
        <w:t xml:space="preserve">Довідки</w:t>
      </w:r>
      <w:r>
        <w:t xml:space="preserve"> </w:t>
      </w:r>
      <w:r>
        <w:t xml:space="preserve">про</w:t>
      </w:r>
      <w:r>
        <w:t xml:space="preserve"> </w:t>
      </w:r>
      <w:r>
        <w:t xml:space="preserve">знищення</w:t>
      </w:r>
      <w:r>
        <w:t xml:space="preserve">/</w:t>
      </w:r>
      <w:r>
        <w:t xml:space="preserve">знесення</w:t>
      </w:r>
      <w:r>
        <w:t xml:space="preserve"> </w:t>
      </w:r>
      <w:r>
        <w:t xml:space="preserve">об’єкта</w:t>
      </w:r>
      <w:r>
        <w:t xml:space="preserve"> </w:t>
      </w:r>
      <w:r>
        <w:t xml:space="preserve">нерухомого</w:t>
      </w:r>
      <w:r>
        <w:t xml:space="preserve"> </w:t>
      </w:r>
      <w:r>
        <w:t xml:space="preserve">майна</w:t>
      </w:r>
      <w:r>
        <w:t xml:space="preserve">) з ЄДЕССБ </w:t>
      </w:r>
      <w:r>
        <w:t xml:space="preserve">з  </w:t>
      </w:r>
      <w:r>
        <w:t xml:space="preserve">реєстраційним</w:t>
      </w:r>
      <w:r>
        <w:t xml:space="preserve"> </w:t>
      </w:r>
      <w:r>
        <w:t xml:space="preserve">номером</w:t>
      </w:r>
      <w:r>
        <w:t xml:space="preserve"> </w:t>
      </w:r>
      <w:r>
        <w:t xml:space="preserve">на</w:t>
      </w:r>
      <w:r>
        <w:t xml:space="preserve"> </w:t>
      </w:r>
      <w:r>
        <w:t xml:space="preserve">об’єкти</w:t>
      </w:r>
      <w:r>
        <w:t xml:space="preserve"> </w:t>
      </w:r>
      <w:r>
        <w:t xml:space="preserve">нерухомого</w:t>
      </w:r>
      <w:r>
        <w:t xml:space="preserve"> </w:t>
      </w:r>
      <w:r>
        <w:t xml:space="preserve">майна</w:t>
      </w:r>
      <w:r>
        <w:t xml:space="preserve">).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Обстеження проводиться у присутності замовника або уповноваженої ним особи шляхом візуального огляду об’єктів нерухомого майна (мі</w:t>
      </w:r>
      <w:r>
        <w:rPr>
          <w:rFonts w:ascii="Times New Roman" w:hAnsi="Times New Roman" w:cs="Times New Roman"/>
          <w:sz w:val="24"/>
          <w:szCs w:val="24"/>
        </w:rPr>
        <w:t xml:space="preserve">сця їх розташування) з вимірюванням та визначенням його складу, фактичної площі, об’єму, технічного стану. Під час обстеження проводяться необхідні вимірювання кількісних характеристик об’єктів та фотофіксація місць розташування об’єктів нерухомого майна.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(надати гарантійний лист)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Вимірювання на об’єкті проводиться засобами вимірювальної техніки. Регульовані на зако</w:t>
      </w:r>
      <w:r>
        <w:rPr>
          <w:rFonts w:ascii="Times New Roman" w:hAnsi="Times New Roman" w:cs="Times New Roman"/>
          <w:sz w:val="24"/>
          <w:szCs w:val="24"/>
        </w:rPr>
        <w:t xml:space="preserve">нодавчому рівні засоби вимірювальної техніки, що застосовуються під час проведення технічної інвентаризації, повинні відповідати положенням Закону України “Про метрологію та метрологічну діяльність” та іншим нормативно-правовим актам, що містять вимоги до </w:t>
      </w:r>
      <w:r>
        <w:rPr>
          <w:rFonts w:ascii="Times New Roman" w:hAnsi="Times New Roman" w:cs="Times New Roman"/>
          <w:sz w:val="24"/>
          <w:szCs w:val="24"/>
        </w:rPr>
        <w:t xml:space="preserve">таких засобів. </w:t>
      </w:r>
      <w:r/>
    </w:p>
    <w:p>
      <w:pPr>
        <w:pStyle w:val="728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 xml:space="preserve">разі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виявлення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недоліків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помилок</w:t>
      </w:r>
      <w:r>
        <w:rPr>
          <w:rFonts w:ascii="Times New Roman" w:hAnsi="Times New Roman" w:cs="Times New Roman"/>
          <w:sz w:val="24"/>
          <w:szCs w:val="24"/>
        </w:rPr>
        <w:t xml:space="preserve">) у </w:t>
      </w:r>
      <w:r>
        <w:rPr>
          <w:rFonts w:ascii="Times New Roman" w:hAnsi="Times New Roman" w:cs="Times New Roman"/>
          <w:sz w:val="24"/>
          <w:szCs w:val="24"/>
        </w:rPr>
        <w:t xml:space="preserve">Довідці</w:t>
      </w:r>
      <w:r>
        <w:rPr>
          <w:rFonts w:ascii="Times New Roman" w:hAnsi="Times New Roman" w:cs="Times New Roman"/>
          <w:sz w:val="24"/>
          <w:szCs w:val="24"/>
        </w:rPr>
        <w:t xml:space="preserve"> про </w:t>
      </w:r>
      <w:r>
        <w:rPr>
          <w:rFonts w:ascii="Times New Roman" w:hAnsi="Times New Roman" w:cs="Times New Roman"/>
          <w:sz w:val="24"/>
          <w:szCs w:val="24"/>
        </w:rPr>
        <w:t xml:space="preserve">знищення</w:t>
      </w:r>
      <w:r>
        <w:rPr>
          <w:rFonts w:ascii="Times New Roman" w:hAnsi="Times New Roman" w:cs="Times New Roman"/>
          <w:sz w:val="24"/>
          <w:szCs w:val="24"/>
        </w:rPr>
        <w:t xml:space="preserve">/</w:t>
      </w:r>
      <w:r>
        <w:rPr>
          <w:rFonts w:ascii="Times New Roman" w:hAnsi="Times New Roman" w:cs="Times New Roman"/>
          <w:sz w:val="24"/>
          <w:szCs w:val="24"/>
        </w:rPr>
        <w:t xml:space="preserve">знесення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об’єкта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нерухомого</w:t>
      </w:r>
      <w:r>
        <w:rPr>
          <w:rFonts w:ascii="Times New Roman" w:hAnsi="Times New Roman" w:cs="Times New Roman"/>
          <w:sz w:val="24"/>
          <w:szCs w:val="24"/>
        </w:rPr>
        <w:t xml:space="preserve"> майна, </w:t>
      </w:r>
      <w:r>
        <w:rPr>
          <w:rFonts w:ascii="Times New Roman" w:hAnsi="Times New Roman" w:cs="Times New Roman"/>
          <w:sz w:val="24"/>
          <w:szCs w:val="24"/>
        </w:rPr>
        <w:t xml:space="preserve">недоліки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підлягають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виправленню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переробці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Учасником</w:t>
      </w:r>
      <w:r>
        <w:rPr>
          <w:rFonts w:ascii="Times New Roman" w:hAnsi="Times New Roman" w:cs="Times New Roman"/>
          <w:sz w:val="24"/>
          <w:szCs w:val="24"/>
        </w:rPr>
        <w:t xml:space="preserve"> за </w:t>
      </w:r>
      <w:r>
        <w:rPr>
          <w:rFonts w:ascii="Times New Roman" w:hAnsi="Times New Roman" w:cs="Times New Roman"/>
          <w:sz w:val="24"/>
          <w:szCs w:val="24"/>
        </w:rPr>
        <w:t xml:space="preserve">власний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рахунок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(надати гарантійний лист)</w:t>
      </w:r>
      <w:r/>
    </w:p>
    <w:p>
      <w:pPr>
        <w:pStyle w:val="728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Технічна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інвентаризація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об’єктів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нерухомого</w:t>
      </w:r>
      <w:r>
        <w:rPr>
          <w:rFonts w:ascii="Times New Roman" w:hAnsi="Times New Roman" w:cs="Times New Roman"/>
          <w:sz w:val="24"/>
          <w:szCs w:val="24"/>
        </w:rPr>
        <w:t xml:space="preserve"> майна повинна </w:t>
      </w:r>
      <w:r>
        <w:rPr>
          <w:rFonts w:ascii="Times New Roman" w:hAnsi="Times New Roman" w:cs="Times New Roman"/>
          <w:sz w:val="24"/>
          <w:szCs w:val="24"/>
        </w:rPr>
        <w:t xml:space="preserve">проводитися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суб’єктом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господарювання</w:t>
      </w:r>
      <w:r>
        <w:rPr>
          <w:rFonts w:ascii="Times New Roman" w:hAnsi="Times New Roman" w:cs="Times New Roman"/>
          <w:sz w:val="24"/>
          <w:szCs w:val="24"/>
        </w:rPr>
        <w:t xml:space="preserve">, у </w:t>
      </w:r>
      <w:r>
        <w:rPr>
          <w:rFonts w:ascii="Times New Roman" w:hAnsi="Times New Roman" w:cs="Times New Roman"/>
          <w:sz w:val="24"/>
          <w:szCs w:val="24"/>
        </w:rPr>
        <w:t xml:space="preserve">складі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працює</w:t>
      </w:r>
      <w:r>
        <w:rPr>
          <w:rFonts w:ascii="Times New Roman" w:hAnsi="Times New Roman" w:cs="Times New Roman"/>
          <w:sz w:val="24"/>
          <w:szCs w:val="24"/>
        </w:rPr>
        <w:t xml:space="preserve"> один </w:t>
      </w:r>
      <w:r>
        <w:rPr>
          <w:rFonts w:ascii="Times New Roman" w:hAnsi="Times New Roman" w:cs="Times New Roman"/>
          <w:sz w:val="24"/>
          <w:szCs w:val="24"/>
        </w:rPr>
        <w:t xml:space="preserve">або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більше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відповідальних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виконавців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окремих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видів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робіт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послуг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 xml:space="preserve">пов’язаних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із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створенням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об’єктів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архітектури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які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пройшли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професійну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атестацію</w:t>
      </w:r>
      <w:r>
        <w:rPr>
          <w:rFonts w:ascii="Times New Roman" w:hAnsi="Times New Roman" w:cs="Times New Roman"/>
          <w:sz w:val="24"/>
          <w:szCs w:val="24"/>
        </w:rPr>
        <w:t xml:space="preserve"> у </w:t>
      </w:r>
      <w:r>
        <w:rPr>
          <w:rFonts w:ascii="Times New Roman" w:hAnsi="Times New Roman" w:cs="Times New Roman"/>
          <w:sz w:val="24"/>
          <w:szCs w:val="24"/>
        </w:rPr>
        <w:t xml:space="preserve">Мінрегіоні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України</w:t>
      </w:r>
      <w:r>
        <w:rPr>
          <w:rFonts w:ascii="Times New Roman" w:hAnsi="Times New Roman" w:cs="Times New Roman"/>
          <w:sz w:val="24"/>
          <w:szCs w:val="24"/>
        </w:rPr>
        <w:t xml:space="preserve"> та </w:t>
      </w:r>
      <w:r>
        <w:rPr>
          <w:rFonts w:ascii="Times New Roman" w:hAnsi="Times New Roman" w:cs="Times New Roman"/>
          <w:sz w:val="24"/>
          <w:szCs w:val="24"/>
        </w:rPr>
        <w:t xml:space="preserve">отримали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кваліфікаційний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сертифікат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відповідно</w:t>
      </w:r>
      <w:r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 xml:space="preserve">статті</w:t>
      </w:r>
      <w:r>
        <w:rPr>
          <w:rFonts w:ascii="Times New Roman" w:hAnsi="Times New Roman" w:cs="Times New Roman"/>
          <w:sz w:val="24"/>
          <w:szCs w:val="24"/>
        </w:rPr>
        <w:t xml:space="preserve"> 17 Закону </w:t>
      </w:r>
      <w:r>
        <w:rPr>
          <w:rFonts w:ascii="Times New Roman" w:hAnsi="Times New Roman" w:cs="Times New Roman"/>
          <w:sz w:val="24"/>
          <w:szCs w:val="24"/>
        </w:rPr>
        <w:t xml:space="preserve">України</w:t>
      </w:r>
      <w:r>
        <w:rPr>
          <w:rFonts w:ascii="Times New Roman" w:hAnsi="Times New Roman" w:cs="Times New Roman"/>
          <w:sz w:val="24"/>
          <w:szCs w:val="24"/>
        </w:rPr>
        <w:t xml:space="preserve"> “Про </w:t>
      </w:r>
      <w:r>
        <w:rPr>
          <w:rFonts w:ascii="Times New Roman" w:hAnsi="Times New Roman" w:cs="Times New Roman"/>
          <w:sz w:val="24"/>
          <w:szCs w:val="24"/>
        </w:rPr>
        <w:t xml:space="preserve">архітектурну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діяльність</w:t>
      </w:r>
      <w:r>
        <w:rPr>
          <w:rFonts w:ascii="Times New Roman" w:hAnsi="Times New Roman" w:cs="Times New Roman"/>
          <w:sz w:val="24"/>
          <w:szCs w:val="24"/>
        </w:rPr>
        <w:t xml:space="preserve">” та постанови </w:t>
      </w:r>
      <w:r>
        <w:rPr>
          <w:rFonts w:ascii="Times New Roman" w:hAnsi="Times New Roman" w:cs="Times New Roman"/>
          <w:sz w:val="24"/>
          <w:szCs w:val="24"/>
        </w:rPr>
        <w:t xml:space="preserve">Кабінету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Міністрів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України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від</w:t>
      </w:r>
      <w:r>
        <w:rPr>
          <w:rFonts w:ascii="Times New Roman" w:hAnsi="Times New Roman" w:cs="Times New Roman"/>
          <w:sz w:val="24"/>
          <w:szCs w:val="24"/>
        </w:rPr>
        <w:t xml:space="preserve"> 23 </w:t>
      </w:r>
      <w:r>
        <w:rPr>
          <w:rFonts w:ascii="Times New Roman" w:hAnsi="Times New Roman" w:cs="Times New Roman"/>
          <w:sz w:val="24"/>
          <w:szCs w:val="24"/>
        </w:rPr>
        <w:t xml:space="preserve">травня</w:t>
      </w:r>
      <w:r>
        <w:rPr>
          <w:rFonts w:ascii="Times New Roman" w:hAnsi="Times New Roman" w:cs="Times New Roman"/>
          <w:sz w:val="24"/>
          <w:szCs w:val="24"/>
        </w:rPr>
        <w:t xml:space="preserve"> 2011 року № 554 “</w:t>
      </w:r>
      <w:r>
        <w:rPr>
          <w:rFonts w:ascii="Times New Roman" w:hAnsi="Times New Roman" w:cs="Times New Roman"/>
          <w:sz w:val="24"/>
          <w:szCs w:val="24"/>
        </w:rPr>
        <w:t xml:space="preserve">Деякі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питання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професійної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атестації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відповідальних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виконавців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окремих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видів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робіт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послуг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 xml:space="preserve">пов’язаних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із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створенням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об’єктів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архітектури</w:t>
      </w:r>
      <w:r>
        <w:rPr>
          <w:rFonts w:ascii="Times New Roman" w:hAnsi="Times New Roman" w:cs="Times New Roman"/>
          <w:sz w:val="24"/>
          <w:szCs w:val="24"/>
        </w:rPr>
        <w:t xml:space="preserve">”.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(надати підтверджуючі  документи)</w:t>
      </w:r>
      <w:r/>
    </w:p>
    <w:p>
      <w:pPr>
        <w:pStyle w:val="728"/>
        <w:ind w:left="0" w:firstLine="709"/>
        <w:jc w:val="both"/>
        <w:rPr>
          <w:rFonts w:ascii="Times New Roman" w:hAnsi="Times New Roman" w:eastAsia="PMingLiU" w:cs="Times New Roman"/>
          <w:bCs/>
          <w:iCs/>
          <w:sz w:val="24"/>
          <w:szCs w:val="24"/>
          <w:lang w:val="uk-UA"/>
        </w:rPr>
      </w:pPr>
      <w:r>
        <w:rPr>
          <w:rFonts w:ascii="Times New Roman" w:hAnsi="Times New Roman" w:eastAsia="PMingLiU" w:cs="Times New Roman"/>
          <w:bCs/>
          <w:iCs/>
          <w:sz w:val="24"/>
          <w:szCs w:val="24"/>
        </w:rPr>
        <w:t xml:space="preserve">У </w:t>
      </w:r>
      <w:r>
        <w:rPr>
          <w:rFonts w:ascii="Times New Roman" w:hAnsi="Times New Roman" w:eastAsia="PMingLiU" w:cs="Times New Roman"/>
          <w:bCs/>
          <w:iCs/>
          <w:sz w:val="24"/>
          <w:szCs w:val="24"/>
        </w:rPr>
        <w:t xml:space="preserve">випадку</w:t>
      </w:r>
      <w:r>
        <w:rPr>
          <w:rFonts w:ascii="Times New Roman" w:hAnsi="Times New Roman" w:eastAsia="PMingLiU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eastAsia="PMingLiU" w:cs="Times New Roman"/>
          <w:bCs/>
          <w:iCs/>
          <w:sz w:val="24"/>
          <w:szCs w:val="24"/>
        </w:rPr>
        <w:t xml:space="preserve">відмови</w:t>
      </w:r>
      <w:r>
        <w:rPr>
          <w:rFonts w:ascii="Times New Roman" w:hAnsi="Times New Roman" w:eastAsia="PMingLiU" w:cs="Times New Roman"/>
          <w:bCs/>
          <w:iCs/>
          <w:sz w:val="24"/>
          <w:szCs w:val="24"/>
        </w:rPr>
        <w:t xml:space="preserve"> у </w:t>
      </w:r>
      <w:r>
        <w:rPr>
          <w:rFonts w:ascii="Times New Roman" w:hAnsi="Times New Roman" w:eastAsia="PMingLiU" w:cs="Times New Roman"/>
          <w:bCs/>
          <w:iCs/>
          <w:sz w:val="24"/>
          <w:szCs w:val="24"/>
        </w:rPr>
        <w:t xml:space="preserve">здійсненні</w:t>
      </w:r>
      <w:r>
        <w:rPr>
          <w:rFonts w:ascii="Times New Roman" w:hAnsi="Times New Roman" w:eastAsia="PMingLiU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eastAsia="PMingLiU" w:cs="Times New Roman"/>
          <w:bCs/>
          <w:iCs/>
          <w:sz w:val="24"/>
          <w:szCs w:val="24"/>
        </w:rPr>
        <w:t xml:space="preserve">державної</w:t>
      </w:r>
      <w:r>
        <w:rPr>
          <w:rFonts w:ascii="Times New Roman" w:hAnsi="Times New Roman" w:eastAsia="PMingLiU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eastAsia="PMingLiU" w:cs="Times New Roman"/>
          <w:bCs/>
          <w:iCs/>
          <w:sz w:val="24"/>
          <w:szCs w:val="24"/>
        </w:rPr>
        <w:t xml:space="preserve">реєстрації</w:t>
      </w:r>
      <w:r>
        <w:rPr>
          <w:rFonts w:ascii="Times New Roman" w:hAnsi="Times New Roman" w:eastAsia="PMingLiU" w:cs="Times New Roman"/>
          <w:bCs/>
          <w:iCs/>
          <w:sz w:val="24"/>
          <w:szCs w:val="24"/>
        </w:rPr>
        <w:t xml:space="preserve"> права </w:t>
      </w:r>
      <w:r>
        <w:rPr>
          <w:rFonts w:ascii="Times New Roman" w:hAnsi="Times New Roman" w:eastAsia="PMingLiU" w:cs="Times New Roman"/>
          <w:bCs/>
          <w:iCs/>
          <w:sz w:val="24"/>
          <w:szCs w:val="24"/>
        </w:rPr>
        <w:t xml:space="preserve">власності</w:t>
      </w:r>
      <w:r>
        <w:rPr>
          <w:rFonts w:ascii="Times New Roman" w:hAnsi="Times New Roman" w:eastAsia="PMingLiU" w:cs="Times New Roman"/>
          <w:bCs/>
          <w:iCs/>
          <w:sz w:val="24"/>
          <w:szCs w:val="24"/>
        </w:rPr>
        <w:t xml:space="preserve"> з </w:t>
      </w:r>
      <w:r>
        <w:rPr>
          <w:rFonts w:ascii="Times New Roman" w:hAnsi="Times New Roman" w:eastAsia="PMingLiU" w:cs="Times New Roman"/>
          <w:bCs/>
          <w:iCs/>
          <w:sz w:val="24"/>
          <w:szCs w:val="24"/>
        </w:rPr>
        <w:t xml:space="preserve">підстав</w:t>
      </w:r>
      <w:r>
        <w:rPr>
          <w:rFonts w:ascii="Times New Roman" w:hAnsi="Times New Roman" w:eastAsia="PMingLiU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eastAsia="PMingLiU" w:cs="Times New Roman"/>
          <w:bCs/>
          <w:iCs/>
          <w:sz w:val="24"/>
          <w:szCs w:val="24"/>
        </w:rPr>
        <w:t xml:space="preserve">невідповідності</w:t>
      </w:r>
      <w:r>
        <w:rPr>
          <w:rFonts w:ascii="Times New Roman" w:hAnsi="Times New Roman" w:eastAsia="PMingLiU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eastAsia="PMingLiU" w:cs="Times New Roman"/>
          <w:bCs/>
          <w:iCs/>
          <w:sz w:val="24"/>
          <w:szCs w:val="24"/>
        </w:rPr>
        <w:t xml:space="preserve">технічної</w:t>
      </w:r>
      <w:r>
        <w:rPr>
          <w:rFonts w:ascii="Times New Roman" w:hAnsi="Times New Roman" w:eastAsia="PMingLiU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eastAsia="PMingLiU" w:cs="Times New Roman"/>
          <w:bCs/>
          <w:iCs/>
          <w:sz w:val="24"/>
          <w:szCs w:val="24"/>
        </w:rPr>
        <w:t xml:space="preserve">документації</w:t>
      </w:r>
      <w:r>
        <w:rPr>
          <w:rFonts w:ascii="Times New Roman" w:hAnsi="Times New Roman" w:eastAsia="PMingLiU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eastAsia="PMingLiU" w:cs="Times New Roman"/>
          <w:bCs/>
          <w:iCs/>
          <w:sz w:val="24"/>
          <w:szCs w:val="24"/>
        </w:rPr>
        <w:t xml:space="preserve">встановленим</w:t>
      </w:r>
      <w:r>
        <w:rPr>
          <w:rFonts w:ascii="Times New Roman" w:hAnsi="Times New Roman" w:eastAsia="PMingLiU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eastAsia="PMingLiU" w:cs="Times New Roman"/>
          <w:bCs/>
          <w:iCs/>
          <w:sz w:val="24"/>
          <w:szCs w:val="24"/>
        </w:rPr>
        <w:t xml:space="preserve">вимогам</w:t>
      </w:r>
      <w:r>
        <w:rPr>
          <w:rFonts w:ascii="Times New Roman" w:hAnsi="Times New Roman" w:eastAsia="PMingLiU" w:cs="Times New Roman"/>
          <w:bCs/>
          <w:iCs/>
          <w:sz w:val="24"/>
          <w:szCs w:val="24"/>
        </w:rPr>
        <w:t xml:space="preserve">, </w:t>
      </w:r>
      <w:r>
        <w:rPr>
          <w:rFonts w:ascii="Times New Roman" w:hAnsi="Times New Roman" w:eastAsia="PMingLiU" w:cs="Times New Roman"/>
          <w:bCs/>
          <w:iCs/>
          <w:sz w:val="24"/>
          <w:szCs w:val="24"/>
        </w:rPr>
        <w:t xml:space="preserve">Учасник</w:t>
      </w:r>
      <w:r>
        <w:rPr>
          <w:rFonts w:ascii="Times New Roman" w:hAnsi="Times New Roman" w:eastAsia="PMingLiU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eastAsia="PMingLiU" w:cs="Times New Roman"/>
          <w:bCs/>
          <w:iCs/>
          <w:sz w:val="24"/>
          <w:szCs w:val="24"/>
        </w:rPr>
        <w:t xml:space="preserve">послуг</w:t>
      </w:r>
      <w:r>
        <w:rPr>
          <w:rFonts w:ascii="Times New Roman" w:hAnsi="Times New Roman" w:eastAsia="PMingLiU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eastAsia="PMingLiU" w:cs="Times New Roman"/>
          <w:bCs/>
          <w:iCs/>
          <w:sz w:val="24"/>
          <w:szCs w:val="24"/>
        </w:rPr>
        <w:t xml:space="preserve">зобов’язаний</w:t>
      </w:r>
      <w:r>
        <w:rPr>
          <w:rFonts w:ascii="Times New Roman" w:hAnsi="Times New Roman" w:eastAsia="PMingLiU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eastAsia="PMingLiU" w:cs="Times New Roman"/>
          <w:bCs/>
          <w:iCs/>
          <w:sz w:val="24"/>
          <w:szCs w:val="24"/>
        </w:rPr>
        <w:t xml:space="preserve">переробити</w:t>
      </w:r>
      <w:r>
        <w:rPr>
          <w:rFonts w:ascii="Times New Roman" w:hAnsi="Times New Roman" w:eastAsia="PMingLiU" w:cs="Times New Roman"/>
          <w:bCs/>
          <w:iCs/>
          <w:sz w:val="24"/>
          <w:szCs w:val="24"/>
        </w:rPr>
        <w:t xml:space="preserve"> та / </w:t>
      </w:r>
      <w:r>
        <w:rPr>
          <w:rFonts w:ascii="Times New Roman" w:hAnsi="Times New Roman" w:eastAsia="PMingLiU" w:cs="Times New Roman"/>
          <w:bCs/>
          <w:iCs/>
          <w:sz w:val="24"/>
          <w:szCs w:val="24"/>
        </w:rPr>
        <w:t xml:space="preserve">або</w:t>
      </w:r>
      <w:r>
        <w:rPr>
          <w:rFonts w:ascii="Times New Roman" w:hAnsi="Times New Roman" w:eastAsia="PMingLiU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eastAsia="PMingLiU" w:cs="Times New Roman"/>
          <w:bCs/>
          <w:iCs/>
          <w:sz w:val="24"/>
          <w:szCs w:val="24"/>
        </w:rPr>
        <w:t xml:space="preserve">доопрацювати</w:t>
      </w:r>
      <w:r>
        <w:rPr>
          <w:rFonts w:ascii="Times New Roman" w:hAnsi="Times New Roman" w:eastAsia="PMingLiU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eastAsia="PMingLiU" w:cs="Times New Roman"/>
          <w:bCs/>
          <w:iCs/>
          <w:sz w:val="24"/>
          <w:szCs w:val="24"/>
        </w:rPr>
        <w:t xml:space="preserve">технічні</w:t>
      </w:r>
      <w:r>
        <w:rPr>
          <w:rFonts w:ascii="Times New Roman" w:hAnsi="Times New Roman" w:eastAsia="PMingLiU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eastAsia="PMingLiU" w:cs="Times New Roman"/>
          <w:bCs/>
          <w:iCs/>
          <w:sz w:val="24"/>
          <w:szCs w:val="24"/>
        </w:rPr>
        <w:t xml:space="preserve">паспорти</w:t>
      </w:r>
      <w:r>
        <w:rPr>
          <w:rFonts w:ascii="Times New Roman" w:hAnsi="Times New Roman" w:eastAsia="PMingLiU" w:cs="Times New Roman"/>
          <w:bCs/>
          <w:iCs/>
          <w:sz w:val="24"/>
          <w:szCs w:val="24"/>
        </w:rPr>
        <w:t xml:space="preserve">.</w:t>
      </w:r>
      <w:r>
        <w:rPr>
          <w:rFonts w:ascii="Times New Roman" w:hAnsi="Times New Roman" w:eastAsia="PMingLiU" w:cs="Times New Roman"/>
          <w:bCs/>
          <w:i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(надати гарантійний лист)</w:t>
      </w:r>
      <w:r/>
    </w:p>
    <w:p>
      <w:pPr>
        <w:pStyle w:val="765"/>
        <w:ind w:firstLine="709"/>
        <w:jc w:val="both"/>
        <w:spacing w:beforeAutospacing="0" w:after="0" w:afterAutospacing="0"/>
        <w:shd w:val="clear" w:color="auto" w:fill="ffffff"/>
        <w:rPr>
          <w:color w:val="333333"/>
        </w:rPr>
      </w:pPr>
      <w:r>
        <w:rPr>
          <w:color w:val="333333"/>
        </w:rPr>
      </w:r>
      <w:r/>
    </w:p>
    <w:p>
      <w:pPr>
        <w:pStyle w:val="728"/>
        <w:ind w:left="0" w:firstLine="709"/>
        <w:jc w:val="both"/>
        <w:rPr>
          <w:rFonts w:ascii="Times New Roman" w:hAnsi="Times New Roman" w:eastAsia="Times New Roman CYR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Вартість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послуг</w:t>
      </w:r>
      <w:r>
        <w:rPr>
          <w:rFonts w:ascii="Times New Roman" w:hAnsi="Times New Roman" w:cs="Times New Roman"/>
          <w:sz w:val="24"/>
          <w:szCs w:val="24"/>
        </w:rPr>
        <w:t xml:space="preserve"> повинна </w:t>
      </w:r>
      <w:r>
        <w:rPr>
          <w:rFonts w:ascii="Times New Roman" w:hAnsi="Times New Roman" w:cs="Times New Roman"/>
          <w:sz w:val="24"/>
          <w:szCs w:val="24"/>
        </w:rPr>
        <w:t xml:space="preserve">включати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витрати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транспортування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страхування</w:t>
      </w:r>
      <w:r>
        <w:rPr>
          <w:rFonts w:ascii="Times New Roman" w:hAnsi="Times New Roman" w:cs="Times New Roman"/>
          <w:sz w:val="24"/>
          <w:szCs w:val="24"/>
        </w:rPr>
        <w:t xml:space="preserve"> та </w:t>
      </w:r>
      <w:r>
        <w:rPr>
          <w:rFonts w:ascii="Times New Roman" w:hAnsi="Times New Roman" w:cs="Times New Roman"/>
          <w:sz w:val="24"/>
          <w:szCs w:val="24"/>
        </w:rPr>
        <w:t xml:space="preserve">усі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інші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витрати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пов’язані</w:t>
      </w:r>
      <w:r>
        <w:rPr>
          <w:rFonts w:ascii="Times New Roman" w:hAnsi="Times New Roman" w:cs="Times New Roman"/>
          <w:sz w:val="24"/>
          <w:szCs w:val="24"/>
        </w:rPr>
        <w:t xml:space="preserve"> з </w:t>
      </w:r>
      <w:r>
        <w:rPr>
          <w:rFonts w:ascii="Times New Roman" w:hAnsi="Times New Roman" w:cs="Times New Roman"/>
          <w:sz w:val="24"/>
          <w:szCs w:val="24"/>
        </w:rPr>
        <w:t xml:space="preserve">виконанням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послуг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eastAsia="Times New Roman CYR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 CYR" w:cs="Times New Roman"/>
          <w:sz w:val="24"/>
          <w:szCs w:val="24"/>
        </w:rPr>
        <w:t xml:space="preserve">податки</w:t>
      </w:r>
      <w:r>
        <w:rPr>
          <w:rFonts w:ascii="Times New Roman" w:hAnsi="Times New Roman" w:eastAsia="Times New Roman CYR" w:cs="Times New Roman"/>
          <w:sz w:val="24"/>
          <w:szCs w:val="24"/>
        </w:rPr>
        <w:t xml:space="preserve"> і </w:t>
      </w:r>
      <w:r>
        <w:rPr>
          <w:rFonts w:ascii="Times New Roman" w:hAnsi="Times New Roman" w:eastAsia="Times New Roman CYR" w:cs="Times New Roman"/>
          <w:sz w:val="24"/>
          <w:szCs w:val="24"/>
        </w:rPr>
        <w:t xml:space="preserve">збори</w:t>
      </w:r>
      <w:r>
        <w:rPr>
          <w:rFonts w:ascii="Times New Roman" w:hAnsi="Times New Roman" w:eastAsia="Times New Roman CYR" w:cs="Times New Roman"/>
          <w:sz w:val="24"/>
          <w:szCs w:val="24"/>
        </w:rPr>
        <w:t xml:space="preserve">, </w:t>
      </w:r>
      <w:r>
        <w:rPr>
          <w:rFonts w:ascii="Times New Roman" w:hAnsi="Times New Roman" w:eastAsia="Times New Roman CYR" w:cs="Times New Roman"/>
          <w:sz w:val="24"/>
          <w:szCs w:val="24"/>
        </w:rPr>
        <w:t xml:space="preserve">що</w:t>
      </w:r>
      <w:r>
        <w:rPr>
          <w:rFonts w:ascii="Times New Roman" w:hAnsi="Times New Roman" w:eastAsia="Times New Roman CYR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 CYR" w:cs="Times New Roman"/>
          <w:sz w:val="24"/>
          <w:szCs w:val="24"/>
        </w:rPr>
        <w:t xml:space="preserve">сплачуються</w:t>
      </w:r>
      <w:r>
        <w:rPr>
          <w:rFonts w:ascii="Times New Roman" w:hAnsi="Times New Roman" w:eastAsia="Times New Roman CYR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 CYR" w:cs="Times New Roman"/>
          <w:sz w:val="24"/>
          <w:szCs w:val="24"/>
        </w:rPr>
        <w:t xml:space="preserve">або</w:t>
      </w:r>
      <w:r>
        <w:rPr>
          <w:rFonts w:ascii="Times New Roman" w:hAnsi="Times New Roman" w:eastAsia="Times New Roman CYR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 CYR" w:cs="Times New Roman"/>
          <w:sz w:val="24"/>
          <w:szCs w:val="24"/>
        </w:rPr>
        <w:t xml:space="preserve">мають</w:t>
      </w:r>
      <w:r>
        <w:rPr>
          <w:rFonts w:ascii="Times New Roman" w:hAnsi="Times New Roman" w:eastAsia="Times New Roman CYR" w:cs="Times New Roman"/>
          <w:sz w:val="24"/>
          <w:szCs w:val="24"/>
        </w:rPr>
        <w:t xml:space="preserve"> бути </w:t>
      </w:r>
      <w:r>
        <w:rPr>
          <w:rFonts w:ascii="Times New Roman" w:hAnsi="Times New Roman" w:eastAsia="Times New Roman CYR" w:cs="Times New Roman"/>
          <w:sz w:val="24"/>
          <w:szCs w:val="24"/>
        </w:rPr>
        <w:t xml:space="preserve">сплачені</w:t>
      </w:r>
      <w:r>
        <w:rPr>
          <w:rFonts w:ascii="Times New Roman" w:hAnsi="Times New Roman" w:eastAsia="Times New Roman CYR" w:cs="Times New Roman"/>
          <w:sz w:val="24"/>
          <w:szCs w:val="24"/>
        </w:rPr>
        <w:t xml:space="preserve">. Не </w:t>
      </w:r>
      <w:r>
        <w:rPr>
          <w:rFonts w:ascii="Times New Roman" w:hAnsi="Times New Roman" w:eastAsia="Times New Roman CYR" w:cs="Times New Roman"/>
          <w:sz w:val="24"/>
          <w:szCs w:val="24"/>
        </w:rPr>
        <w:t xml:space="preserve">врахована</w:t>
      </w:r>
      <w:r>
        <w:rPr>
          <w:rFonts w:ascii="Times New Roman" w:hAnsi="Times New Roman" w:eastAsia="Times New Roman CYR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 CYR" w:cs="Times New Roman"/>
          <w:sz w:val="24"/>
          <w:szCs w:val="24"/>
        </w:rPr>
        <w:t xml:space="preserve">учасником</w:t>
      </w:r>
      <w:r>
        <w:rPr>
          <w:rFonts w:ascii="Times New Roman" w:hAnsi="Times New Roman" w:eastAsia="Times New Roman CYR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 CYR" w:cs="Times New Roman"/>
          <w:sz w:val="24"/>
          <w:szCs w:val="24"/>
        </w:rPr>
        <w:t xml:space="preserve">вартість</w:t>
      </w:r>
      <w:r>
        <w:rPr>
          <w:rFonts w:ascii="Times New Roman" w:hAnsi="Times New Roman" w:eastAsia="Times New Roman CYR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 CYR" w:cs="Times New Roman"/>
          <w:sz w:val="24"/>
          <w:szCs w:val="24"/>
        </w:rPr>
        <w:t xml:space="preserve">окремих</w:t>
      </w:r>
      <w:r>
        <w:rPr>
          <w:rFonts w:ascii="Times New Roman" w:hAnsi="Times New Roman" w:eastAsia="Times New Roman CYR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 CYR" w:cs="Times New Roman"/>
          <w:sz w:val="24"/>
          <w:szCs w:val="24"/>
        </w:rPr>
        <w:t xml:space="preserve">супутніх</w:t>
      </w:r>
      <w:r>
        <w:rPr>
          <w:rFonts w:ascii="Times New Roman" w:hAnsi="Times New Roman" w:eastAsia="Times New Roman CYR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 CYR" w:cs="Times New Roman"/>
          <w:sz w:val="24"/>
          <w:szCs w:val="24"/>
        </w:rPr>
        <w:t xml:space="preserve">послуг</w:t>
      </w:r>
      <w:r>
        <w:rPr>
          <w:rFonts w:ascii="Times New Roman" w:hAnsi="Times New Roman" w:eastAsia="Times New Roman CYR" w:cs="Times New Roman"/>
          <w:sz w:val="24"/>
          <w:szCs w:val="24"/>
        </w:rPr>
        <w:t xml:space="preserve"> не </w:t>
      </w:r>
      <w:r>
        <w:rPr>
          <w:rFonts w:ascii="Times New Roman" w:hAnsi="Times New Roman" w:eastAsia="Times New Roman CYR" w:cs="Times New Roman"/>
          <w:sz w:val="24"/>
          <w:szCs w:val="24"/>
        </w:rPr>
        <w:t xml:space="preserve">сплачується</w:t>
      </w:r>
      <w:r>
        <w:rPr>
          <w:rFonts w:ascii="Times New Roman" w:hAnsi="Times New Roman" w:eastAsia="Times New Roman CYR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 CYR" w:cs="Times New Roman"/>
          <w:sz w:val="24"/>
          <w:szCs w:val="24"/>
        </w:rPr>
        <w:t xml:space="preserve">замовником</w:t>
      </w:r>
      <w:r>
        <w:rPr>
          <w:rFonts w:ascii="Times New Roman" w:hAnsi="Times New Roman" w:eastAsia="Times New Roman CYR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 CYR" w:cs="Times New Roman"/>
          <w:sz w:val="24"/>
          <w:szCs w:val="24"/>
        </w:rPr>
        <w:t xml:space="preserve">окремо</w:t>
      </w:r>
      <w:r>
        <w:rPr>
          <w:rFonts w:ascii="Times New Roman" w:hAnsi="Times New Roman" w:eastAsia="Times New Roman CYR" w:cs="Times New Roman"/>
          <w:sz w:val="24"/>
          <w:szCs w:val="24"/>
        </w:rPr>
        <w:t xml:space="preserve">, а </w:t>
      </w:r>
      <w:r>
        <w:rPr>
          <w:rFonts w:ascii="Times New Roman" w:hAnsi="Times New Roman" w:eastAsia="Times New Roman CYR" w:cs="Times New Roman"/>
          <w:sz w:val="24"/>
          <w:szCs w:val="24"/>
        </w:rPr>
        <w:t xml:space="preserve">витрати</w:t>
      </w:r>
      <w:r>
        <w:rPr>
          <w:rFonts w:ascii="Times New Roman" w:hAnsi="Times New Roman" w:eastAsia="Times New Roman CYR" w:cs="Times New Roman"/>
          <w:sz w:val="24"/>
          <w:szCs w:val="24"/>
        </w:rPr>
        <w:t xml:space="preserve"> на </w:t>
      </w:r>
      <w:r>
        <w:rPr>
          <w:rFonts w:ascii="Times New Roman" w:hAnsi="Times New Roman" w:eastAsia="Times New Roman CYR" w:cs="Times New Roman"/>
          <w:sz w:val="24"/>
          <w:szCs w:val="24"/>
        </w:rPr>
        <w:t xml:space="preserve">їх</w:t>
      </w:r>
      <w:r>
        <w:rPr>
          <w:rFonts w:ascii="Times New Roman" w:hAnsi="Times New Roman" w:eastAsia="Times New Roman CYR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 CYR" w:cs="Times New Roman"/>
          <w:sz w:val="24"/>
          <w:szCs w:val="24"/>
        </w:rPr>
        <w:t xml:space="preserve">виконання</w:t>
      </w:r>
      <w:r>
        <w:rPr>
          <w:rFonts w:ascii="Times New Roman" w:hAnsi="Times New Roman" w:eastAsia="Times New Roman CYR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 CYR" w:cs="Times New Roman"/>
          <w:sz w:val="24"/>
          <w:szCs w:val="24"/>
        </w:rPr>
        <w:t xml:space="preserve">вважаються</w:t>
      </w:r>
      <w:r>
        <w:rPr>
          <w:rFonts w:ascii="Times New Roman" w:hAnsi="Times New Roman" w:eastAsia="Times New Roman CYR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 CYR" w:cs="Times New Roman"/>
          <w:sz w:val="24"/>
          <w:szCs w:val="24"/>
        </w:rPr>
        <w:t xml:space="preserve">врахованими</w:t>
      </w:r>
      <w:r>
        <w:rPr>
          <w:rFonts w:ascii="Times New Roman" w:hAnsi="Times New Roman" w:eastAsia="Times New Roman CYR" w:cs="Times New Roman"/>
          <w:sz w:val="24"/>
          <w:szCs w:val="24"/>
        </w:rPr>
        <w:t xml:space="preserve"> у </w:t>
      </w:r>
      <w:r>
        <w:rPr>
          <w:rFonts w:ascii="Times New Roman" w:hAnsi="Times New Roman" w:eastAsia="Times New Roman CYR" w:cs="Times New Roman"/>
          <w:sz w:val="24"/>
          <w:szCs w:val="24"/>
        </w:rPr>
        <w:t xml:space="preserve">загальній</w:t>
      </w:r>
      <w:r>
        <w:rPr>
          <w:rFonts w:ascii="Times New Roman" w:hAnsi="Times New Roman" w:eastAsia="Times New Roman CYR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 CYR" w:cs="Times New Roman"/>
          <w:sz w:val="24"/>
          <w:szCs w:val="24"/>
        </w:rPr>
        <w:t xml:space="preserve">ціні</w:t>
      </w:r>
      <w:r>
        <w:rPr>
          <w:rFonts w:ascii="Times New Roman" w:hAnsi="Times New Roman" w:eastAsia="Times New Roman CYR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 CYR" w:cs="Times New Roman"/>
          <w:sz w:val="24"/>
          <w:szCs w:val="24"/>
        </w:rPr>
        <w:t xml:space="preserve">його</w:t>
      </w:r>
      <w:r>
        <w:rPr>
          <w:rFonts w:ascii="Times New Roman" w:hAnsi="Times New Roman" w:eastAsia="Times New Roman CYR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 CYR" w:cs="Times New Roman"/>
          <w:sz w:val="24"/>
          <w:szCs w:val="24"/>
        </w:rPr>
        <w:t xml:space="preserve">пропозиції</w:t>
      </w:r>
      <w:r>
        <w:rPr>
          <w:rFonts w:ascii="Times New Roman" w:hAnsi="Times New Roman" w:eastAsia="Times New Roman CYR" w:cs="Times New Roman"/>
          <w:sz w:val="24"/>
          <w:szCs w:val="24"/>
        </w:rPr>
        <w:t xml:space="preserve">, за результатами </w:t>
      </w:r>
      <w:r>
        <w:rPr>
          <w:rFonts w:ascii="Times New Roman" w:hAnsi="Times New Roman" w:eastAsia="Times New Roman CYR" w:cs="Times New Roman"/>
          <w:sz w:val="24"/>
          <w:szCs w:val="24"/>
        </w:rPr>
        <w:t xml:space="preserve">проведеного</w:t>
      </w:r>
      <w:r>
        <w:rPr>
          <w:rFonts w:ascii="Times New Roman" w:hAnsi="Times New Roman" w:eastAsia="Times New Roman CYR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 CYR" w:cs="Times New Roman"/>
          <w:sz w:val="24"/>
          <w:szCs w:val="24"/>
        </w:rPr>
        <w:t xml:space="preserve">електронного</w:t>
      </w:r>
      <w:r>
        <w:rPr>
          <w:rFonts w:ascii="Times New Roman" w:hAnsi="Times New Roman" w:eastAsia="Times New Roman CYR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 CYR" w:cs="Times New Roman"/>
          <w:sz w:val="24"/>
          <w:szCs w:val="24"/>
        </w:rPr>
        <w:t xml:space="preserve">аукціону</w:t>
      </w:r>
      <w:r>
        <w:rPr>
          <w:rFonts w:ascii="Times New Roman" w:hAnsi="Times New Roman" w:eastAsia="Times New Roman CYR" w:cs="Times New Roman"/>
          <w:sz w:val="24"/>
          <w:szCs w:val="24"/>
        </w:rPr>
        <w:t xml:space="preserve">.</w:t>
      </w:r>
      <w:r>
        <w:rPr>
          <w:rFonts w:ascii="Times New Roman" w:hAnsi="Times New Roman" w:eastAsia="Times New Roman CYR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(надати гарантійний лист)</w:t>
      </w:r>
      <w:r/>
    </w:p>
    <w:p>
      <w:pPr>
        <w:pStyle w:val="728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Учасником</w:t>
      </w:r>
      <w:r>
        <w:rPr>
          <w:rFonts w:ascii="Times New Roman" w:hAnsi="Times New Roman" w:cs="Times New Roman"/>
          <w:sz w:val="24"/>
          <w:szCs w:val="24"/>
        </w:rPr>
        <w:t xml:space="preserve"> за результатами </w:t>
      </w:r>
      <w:r>
        <w:rPr>
          <w:rFonts w:ascii="Times New Roman" w:hAnsi="Times New Roman" w:cs="Times New Roman"/>
          <w:sz w:val="24"/>
          <w:szCs w:val="24"/>
        </w:rPr>
        <w:t xml:space="preserve">надання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надаються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такі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документи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/>
    </w:p>
    <w:p>
      <w:pPr>
        <w:pStyle w:val="728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Витяг</w:t>
      </w:r>
      <w:r>
        <w:rPr>
          <w:rFonts w:ascii="Times New Roman" w:hAnsi="Times New Roman" w:cs="Times New Roman"/>
          <w:sz w:val="24"/>
          <w:szCs w:val="24"/>
        </w:rPr>
        <w:t xml:space="preserve"> про </w:t>
      </w:r>
      <w:r>
        <w:rPr>
          <w:rFonts w:ascii="Times New Roman" w:hAnsi="Times New Roman" w:cs="Times New Roman"/>
          <w:sz w:val="24"/>
          <w:szCs w:val="24"/>
        </w:rPr>
        <w:t xml:space="preserve">Висновок</w:t>
      </w:r>
      <w:r>
        <w:rPr>
          <w:rFonts w:ascii="Times New Roman" w:hAnsi="Times New Roman" w:cs="Times New Roman"/>
          <w:sz w:val="24"/>
          <w:szCs w:val="24"/>
        </w:rPr>
        <w:t xml:space="preserve"> з </w:t>
      </w:r>
      <w:r>
        <w:rPr>
          <w:rFonts w:ascii="Times New Roman" w:hAnsi="Times New Roman" w:cs="Times New Roman"/>
          <w:sz w:val="24"/>
          <w:szCs w:val="24"/>
        </w:rPr>
        <w:t xml:space="preserve">технічної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інвентаризації</w:t>
      </w:r>
      <w:r>
        <w:rPr>
          <w:rFonts w:ascii="Times New Roman" w:hAnsi="Times New Roman" w:cs="Times New Roman"/>
          <w:sz w:val="24"/>
          <w:szCs w:val="24"/>
        </w:rPr>
        <w:t xml:space="preserve"> з </w:t>
      </w:r>
      <w:r>
        <w:rPr>
          <w:rFonts w:ascii="Times New Roman" w:hAnsi="Times New Roman" w:cs="Times New Roman"/>
          <w:sz w:val="24"/>
          <w:szCs w:val="24"/>
        </w:rPr>
        <w:t xml:space="preserve">реєстру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будівельної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діяльності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Єдиної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державної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електронної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системи</w:t>
      </w:r>
      <w:r>
        <w:rPr>
          <w:rFonts w:ascii="Times New Roman" w:hAnsi="Times New Roman" w:cs="Times New Roman"/>
          <w:sz w:val="24"/>
          <w:szCs w:val="24"/>
        </w:rPr>
        <w:t xml:space="preserve"> у </w:t>
      </w:r>
      <w:r>
        <w:rPr>
          <w:rFonts w:ascii="Times New Roman" w:hAnsi="Times New Roman" w:cs="Times New Roman"/>
          <w:sz w:val="24"/>
          <w:szCs w:val="24"/>
        </w:rPr>
        <w:t xml:space="preserve">сфері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будівництва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/>
    </w:p>
    <w:p>
      <w:pPr>
        <w:pStyle w:val="728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Довідку</w:t>
      </w:r>
      <w:r>
        <w:rPr>
          <w:rFonts w:ascii="Times New Roman" w:hAnsi="Times New Roman" w:cs="Times New Roman"/>
          <w:sz w:val="24"/>
          <w:szCs w:val="24"/>
        </w:rPr>
        <w:t xml:space="preserve"> про </w:t>
      </w:r>
      <w:r>
        <w:rPr>
          <w:rFonts w:ascii="Times New Roman" w:hAnsi="Times New Roman" w:cs="Times New Roman"/>
          <w:sz w:val="24"/>
          <w:szCs w:val="24"/>
        </w:rPr>
        <w:t xml:space="preserve">знищення</w:t>
      </w:r>
      <w:r>
        <w:rPr>
          <w:rFonts w:ascii="Times New Roman" w:hAnsi="Times New Roman" w:cs="Times New Roman"/>
          <w:sz w:val="24"/>
          <w:szCs w:val="24"/>
        </w:rPr>
        <w:t xml:space="preserve">/</w:t>
      </w:r>
      <w:r>
        <w:rPr>
          <w:rFonts w:ascii="Times New Roman" w:hAnsi="Times New Roman" w:cs="Times New Roman"/>
          <w:sz w:val="24"/>
          <w:szCs w:val="24"/>
        </w:rPr>
        <w:t xml:space="preserve">знесення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об’єктів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нерухомого</w:t>
      </w:r>
      <w:r>
        <w:rPr>
          <w:rFonts w:ascii="Times New Roman" w:hAnsi="Times New Roman" w:cs="Times New Roman"/>
          <w:sz w:val="24"/>
          <w:szCs w:val="24"/>
        </w:rPr>
        <w:t xml:space="preserve"> майна.</w:t>
      </w:r>
      <w:r/>
    </w:p>
    <w:p>
      <w:pPr>
        <w:pStyle w:val="728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Вихідні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дані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які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будуть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надаватись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Учаснику-переможцю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виконанні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Договору:  </w:t>
      </w:r>
      <w:r/>
    </w:p>
    <w:p>
      <w:pPr>
        <w:pStyle w:val="728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завірені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копії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установчих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документів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Замовника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/>
    </w:p>
    <w:p>
      <w:pPr>
        <w:pStyle w:val="728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правовстановлюючі</w:t>
      </w:r>
      <w:r>
        <w:rPr>
          <w:rFonts w:ascii="Times New Roman" w:hAnsi="Times New Roman" w:cs="Times New Roman"/>
          <w:sz w:val="24"/>
          <w:szCs w:val="24"/>
        </w:rPr>
        <w:t xml:space="preserve"> та </w:t>
      </w:r>
      <w:r>
        <w:rPr>
          <w:rFonts w:ascii="Times New Roman" w:hAnsi="Times New Roman" w:cs="Times New Roman"/>
          <w:sz w:val="24"/>
          <w:szCs w:val="24"/>
        </w:rPr>
        <w:t xml:space="preserve">реєстраційні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документи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будівлі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об'єкти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інвентаризиції</w:t>
      </w:r>
      <w:r>
        <w:rPr>
          <w:rFonts w:ascii="Times New Roman" w:hAnsi="Times New Roman" w:cs="Times New Roman"/>
          <w:sz w:val="24"/>
          <w:szCs w:val="24"/>
        </w:rPr>
        <w:t xml:space="preserve">) (за </w:t>
      </w:r>
      <w:r>
        <w:rPr>
          <w:rFonts w:ascii="Times New Roman" w:hAnsi="Times New Roman" w:cs="Times New Roman"/>
          <w:sz w:val="24"/>
          <w:szCs w:val="24"/>
        </w:rPr>
        <w:t xml:space="preserve">наявності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 xml:space="preserve">або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довідки</w:t>
      </w:r>
      <w:r>
        <w:rPr>
          <w:rFonts w:ascii="Times New Roman" w:hAnsi="Times New Roman" w:cs="Times New Roman"/>
          <w:sz w:val="24"/>
          <w:szCs w:val="24"/>
        </w:rPr>
        <w:t xml:space="preserve"> про </w:t>
      </w:r>
      <w:r>
        <w:rPr>
          <w:rFonts w:ascii="Times New Roman" w:hAnsi="Times New Roman" w:cs="Times New Roman"/>
          <w:sz w:val="24"/>
          <w:szCs w:val="24"/>
        </w:rPr>
        <w:t xml:space="preserve">їх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балансову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приналежність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pStyle w:val="728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Замовник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забезпечує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/>
    </w:p>
    <w:p>
      <w:pPr>
        <w:pStyle w:val="728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доступ на </w:t>
      </w:r>
      <w:r>
        <w:rPr>
          <w:rFonts w:ascii="Times New Roman" w:hAnsi="Times New Roman" w:cs="Times New Roman"/>
          <w:sz w:val="24"/>
          <w:szCs w:val="24"/>
        </w:rPr>
        <w:t xml:space="preserve">об’єктів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нерухомого</w:t>
      </w:r>
      <w:r>
        <w:rPr>
          <w:rFonts w:ascii="Times New Roman" w:hAnsi="Times New Roman" w:cs="Times New Roman"/>
          <w:sz w:val="24"/>
          <w:szCs w:val="24"/>
        </w:rPr>
        <w:t xml:space="preserve"> майна для </w:t>
      </w:r>
      <w:r>
        <w:rPr>
          <w:rFonts w:ascii="Times New Roman" w:hAnsi="Times New Roman" w:cs="Times New Roman"/>
          <w:sz w:val="24"/>
          <w:szCs w:val="24"/>
        </w:rPr>
        <w:t xml:space="preserve">виконання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робіт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із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технічної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інвентаризації</w:t>
      </w:r>
      <w:r>
        <w:rPr>
          <w:rFonts w:ascii="Times New Roman" w:hAnsi="Times New Roman" w:cs="Times New Roman"/>
          <w:sz w:val="24"/>
          <w:szCs w:val="24"/>
        </w:rPr>
        <w:t xml:space="preserve"> та </w:t>
      </w:r>
      <w:r>
        <w:rPr>
          <w:rFonts w:ascii="Times New Roman" w:hAnsi="Times New Roman" w:cs="Times New Roman"/>
          <w:sz w:val="24"/>
          <w:szCs w:val="24"/>
        </w:rPr>
        <w:t xml:space="preserve">забезпечення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безпечних</w:t>
      </w:r>
      <w:r>
        <w:rPr>
          <w:rFonts w:ascii="Times New Roman" w:hAnsi="Times New Roman" w:cs="Times New Roman"/>
          <w:sz w:val="24"/>
          <w:szCs w:val="24"/>
        </w:rPr>
        <w:t xml:space="preserve"> умов </w:t>
      </w:r>
      <w:r>
        <w:rPr>
          <w:rFonts w:ascii="Times New Roman" w:hAnsi="Times New Roman" w:cs="Times New Roman"/>
          <w:sz w:val="24"/>
          <w:szCs w:val="24"/>
        </w:rPr>
        <w:t xml:space="preserve">праці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/>
    </w:p>
    <w:p>
      <w:pPr>
        <w:pStyle w:val="765"/>
        <w:jc w:val="both"/>
        <w:spacing w:before="0" w:beforeAutospacing="0" w:after="0" w:afterAutospacing="0"/>
        <w:shd w:val="clear" w:color="auto" w:fill="ffffff"/>
        <w:rPr>
          <w:b/>
          <w:lang w:val="uk-UA"/>
        </w:rPr>
      </w:pPr>
      <w:r>
        <w:rPr>
          <w:lang w:eastAsia="ru-RU"/>
        </w:rPr>
        <w:t xml:space="preserve">супроводження</w:t>
      </w:r>
      <w:r>
        <w:rPr>
          <w:lang w:eastAsia="ru-RU"/>
        </w:rPr>
        <w:t xml:space="preserve"> </w:t>
      </w:r>
      <w:r>
        <w:rPr>
          <w:lang w:eastAsia="ru-RU"/>
        </w:rPr>
        <w:t xml:space="preserve">на</w:t>
      </w:r>
      <w:r>
        <w:rPr>
          <w:lang w:eastAsia="ru-RU"/>
        </w:rPr>
        <w:t xml:space="preserve"> </w:t>
      </w:r>
      <w:r>
        <w:rPr>
          <w:lang w:eastAsia="ru-RU"/>
        </w:rPr>
        <w:t xml:space="preserve">об’єктах</w:t>
      </w:r>
      <w:r>
        <w:rPr>
          <w:lang w:eastAsia="ru-RU"/>
        </w:rPr>
        <w:t xml:space="preserve"> </w:t>
      </w:r>
      <w:r>
        <w:rPr>
          <w:lang w:eastAsia="ru-RU"/>
        </w:rPr>
        <w:t xml:space="preserve">нерухомого</w:t>
      </w:r>
      <w:r>
        <w:rPr>
          <w:lang w:eastAsia="ru-RU"/>
        </w:rPr>
        <w:t xml:space="preserve"> </w:t>
      </w:r>
      <w:r>
        <w:rPr>
          <w:lang w:eastAsia="ru-RU"/>
        </w:rPr>
        <w:t xml:space="preserve">майна</w:t>
      </w:r>
      <w:r>
        <w:rPr>
          <w:lang w:eastAsia="ru-RU"/>
        </w:rPr>
        <w:t xml:space="preserve"> </w:t>
      </w:r>
      <w:r>
        <w:rPr>
          <w:lang w:eastAsia="ru-RU"/>
        </w:rPr>
        <w:t xml:space="preserve">або</w:t>
      </w:r>
      <w:r>
        <w:rPr>
          <w:lang w:eastAsia="ru-RU"/>
        </w:rPr>
        <w:t xml:space="preserve"> </w:t>
      </w:r>
      <w:r>
        <w:rPr>
          <w:lang w:eastAsia="ru-RU"/>
        </w:rPr>
        <w:t xml:space="preserve">надання</w:t>
      </w:r>
      <w:r>
        <w:rPr>
          <w:lang w:eastAsia="ru-RU"/>
        </w:rPr>
        <w:t xml:space="preserve"> </w:t>
      </w:r>
      <w:r>
        <w:rPr>
          <w:lang w:eastAsia="ru-RU"/>
        </w:rPr>
        <w:t xml:space="preserve">представника</w:t>
      </w:r>
      <w:r>
        <w:rPr>
          <w:lang w:eastAsia="ru-RU"/>
        </w:rPr>
        <w:t xml:space="preserve"> </w:t>
      </w:r>
      <w:r>
        <w:rPr>
          <w:lang w:eastAsia="ru-RU"/>
        </w:rPr>
        <w:t xml:space="preserve">для</w:t>
      </w:r>
      <w:r>
        <w:rPr>
          <w:lang w:eastAsia="ru-RU"/>
        </w:rPr>
        <w:t xml:space="preserve"> </w:t>
      </w:r>
      <w:r>
        <w:rPr>
          <w:lang w:eastAsia="ru-RU"/>
        </w:rPr>
        <w:t xml:space="preserve">здійснення</w:t>
      </w:r>
      <w:r>
        <w:rPr>
          <w:lang w:eastAsia="ru-RU"/>
        </w:rPr>
        <w:t xml:space="preserve"> </w:t>
      </w:r>
      <w:r>
        <w:rPr>
          <w:lang w:eastAsia="ru-RU"/>
        </w:rPr>
        <w:t xml:space="preserve">супроводження</w:t>
      </w:r>
      <w:r>
        <w:rPr>
          <w:lang w:eastAsia="ru-RU"/>
        </w:rPr>
        <w:t xml:space="preserve">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бюджет України на 202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8 000,00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вісім тисяч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грив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1">
    <w:panose1 w:val="02020603050405020304"/>
  </w:font>
  <w:font w:name="PMingLiU">
    <w:panose1 w:val="02020603020101020101"/>
  </w:font>
  <w:font w:name="Segoe UI">
    <w:panose1 w:val="020B0502040504020204"/>
  </w:font>
  <w:font w:name="Tms Rmn">
    <w:panose1 w:val="020B06030308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4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7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5" w:hanging="375"/>
        <w:tabs>
          <w:tab w:val="num" w:pos="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1353" w:hanging="360"/>
        <w:tabs>
          <w:tab w:val="num" w:pos="66" w:leader="none"/>
        </w:tabs>
      </w:pPr>
      <w:rPr>
        <w:rFonts w:hint="default" w:ascii="Wingdings" w:hAnsi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4577" w:firstLine="0"/>
        <w:tabs>
          <w:tab w:val="num" w:pos="0" w:leader="none"/>
        </w:tabs>
      </w:pPr>
      <w:rPr>
        <w:rFonts w:cs="Times New Roman"/>
        <w:b/>
        <w:bCs/>
        <w:i w:val="0"/>
        <w:iCs w:val="0"/>
        <w:spacing w:val="-1"/>
        <w:sz w:val="24"/>
        <w:szCs w:val="24"/>
        <w:lang w:val="uk-UA" w:eastAsia="uk-UA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4577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5297" w:hanging="720"/>
        <w:tabs>
          <w:tab w:val="num" w:pos="0" w:leader="none"/>
        </w:tabs>
      </w:pPr>
      <w:rPr>
        <w:rFonts w:cs="Times New Roman"/>
        <w:b w:val="0"/>
        <w:bCs w:val="0"/>
        <w:i w:val="0"/>
        <w:iCs w:val="0"/>
        <w:spacing w:val="-1"/>
        <w:sz w:val="24"/>
        <w:szCs w:val="24"/>
        <w:lang w:val="uk-UA" w:bidi="ar-SA"/>
      </w:rPr>
    </w:lvl>
    <w:lvl w:ilvl="3">
      <w:start w:val="1"/>
      <w:numFmt w:val="none"/>
      <w:isLgl w:val="false"/>
      <w:suff w:val="nothing"/>
      <w:lvlText w:val=""/>
      <w:lvlJc w:val="left"/>
      <w:pPr>
        <w:ind w:left="5441" w:hanging="864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4577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4577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4577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4577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4577" w:firstLine="0"/>
        <w:tabs>
          <w:tab w:val="num" w:pos="0" w:leader="none"/>
        </w:tabs>
      </w:p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51" w:hanging="375"/>
        <w:tabs>
          <w:tab w:val="num" w:pos="566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Calibri" w:hAnsi="Calibri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32"/>
  </w:num>
  <w:num w:numId="2">
    <w:abstractNumId w:val="19"/>
  </w:num>
  <w:num w:numId="3">
    <w:abstractNumId w:val="7"/>
  </w:num>
  <w:num w:numId="4">
    <w:abstractNumId w:val="27"/>
  </w:num>
  <w:num w:numId="5">
    <w:abstractNumId w:val="6"/>
  </w:num>
  <w:num w:numId="6">
    <w:abstractNumId w:val="33"/>
  </w:num>
  <w:num w:numId="7">
    <w:abstractNumId w:val="11"/>
  </w:num>
  <w:num w:numId="8">
    <w:abstractNumId w:val="35"/>
  </w:num>
  <w:num w:numId="9">
    <w:abstractNumId w:val="1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8"/>
  </w:num>
  <w:num w:numId="13">
    <w:abstractNumId w:val="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34"/>
  </w:num>
  <w:num w:numId="17">
    <w:abstractNumId w:val="0"/>
  </w:num>
  <w:num w:numId="18">
    <w:abstractNumId w:val="37"/>
  </w:num>
  <w:num w:numId="19">
    <w:abstractNumId w:val="28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9"/>
  </w:num>
  <w:num w:numId="25">
    <w:abstractNumId w:val="22"/>
  </w:num>
  <w:num w:numId="26">
    <w:abstractNumId w:val="25"/>
  </w:num>
  <w:num w:numId="27">
    <w:abstractNumId w:val="30"/>
  </w:num>
  <w:num w:numId="28">
    <w:abstractNumId w:val="23"/>
  </w:num>
  <w:num w:numId="29">
    <w:abstractNumId w:val="31"/>
  </w:num>
  <w:num w:numId="30">
    <w:abstractNumId w:val="18"/>
  </w:num>
  <w:num w:numId="31">
    <w:abstractNumId w:val="2"/>
  </w:num>
  <w:num w:numId="32">
    <w:abstractNumId w:val="21"/>
  </w:num>
  <w:num w:numId="33">
    <w:abstractNumId w:val="17"/>
  </w:num>
  <w:num w:numId="34">
    <w:abstractNumId w:val="14"/>
  </w:num>
  <w:num w:numId="35">
    <w:abstractNumId w:val="36"/>
  </w:num>
  <w:num w:numId="36">
    <w:abstractNumId w:val="4"/>
  </w:num>
  <w:num w:numId="37">
    <w:abstractNumId w:val="20"/>
  </w:num>
  <w:num w:numId="38">
    <w:abstractNumId w:val="9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21"/>
    <w:next w:val="721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25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725"/>
    <w:link w:val="722"/>
    <w:uiPriority w:val="9"/>
    <w:rPr>
      <w:rFonts w:ascii="Arial" w:hAnsi="Arial" w:eastAsia="Arial" w:cs="Arial"/>
      <w:sz w:val="34"/>
    </w:rPr>
  </w:style>
  <w:style w:type="character" w:styleId="17">
    <w:name w:val="Heading 3 Char"/>
    <w:basedOn w:val="725"/>
    <w:link w:val="723"/>
    <w:uiPriority w:val="9"/>
    <w:rPr>
      <w:rFonts w:ascii="Arial" w:hAnsi="Arial" w:eastAsia="Arial" w:cs="Arial"/>
      <w:sz w:val="30"/>
      <w:szCs w:val="30"/>
    </w:rPr>
  </w:style>
  <w:style w:type="character" w:styleId="19">
    <w:name w:val="Heading 4 Char"/>
    <w:basedOn w:val="725"/>
    <w:link w:val="724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21"/>
    <w:next w:val="721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25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21"/>
    <w:next w:val="721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25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21"/>
    <w:next w:val="721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25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21"/>
    <w:next w:val="721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25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21"/>
    <w:next w:val="721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25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721"/>
    <w:next w:val="721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25"/>
    <w:link w:val="33"/>
    <w:uiPriority w:val="10"/>
    <w:rPr>
      <w:sz w:val="48"/>
      <w:szCs w:val="48"/>
    </w:rPr>
  </w:style>
  <w:style w:type="paragraph" w:styleId="35">
    <w:name w:val="Subtitle"/>
    <w:basedOn w:val="721"/>
    <w:next w:val="721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25"/>
    <w:link w:val="35"/>
    <w:uiPriority w:val="11"/>
    <w:rPr>
      <w:sz w:val="24"/>
      <w:szCs w:val="24"/>
    </w:rPr>
  </w:style>
  <w:style w:type="paragraph" w:styleId="37">
    <w:name w:val="Quote"/>
    <w:basedOn w:val="721"/>
    <w:next w:val="721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21"/>
    <w:next w:val="721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721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725"/>
    <w:link w:val="41"/>
    <w:uiPriority w:val="99"/>
  </w:style>
  <w:style w:type="character" w:styleId="44">
    <w:name w:val="Footer Char"/>
    <w:basedOn w:val="725"/>
    <w:link w:val="734"/>
    <w:uiPriority w:val="99"/>
  </w:style>
  <w:style w:type="paragraph" w:styleId="45">
    <w:name w:val="Caption"/>
    <w:basedOn w:val="721"/>
    <w:next w:val="72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34"/>
    <w:uiPriority w:val="99"/>
  </w:style>
  <w:style w:type="table" w:styleId="48">
    <w:name w:val="Table Grid Light"/>
    <w:basedOn w:val="72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2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2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7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7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7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7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721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25"/>
    <w:uiPriority w:val="99"/>
    <w:unhideWhenUsed/>
    <w:rPr>
      <w:vertAlign w:val="superscript"/>
    </w:rPr>
  </w:style>
  <w:style w:type="paragraph" w:styleId="177">
    <w:name w:val="endnote text"/>
    <w:basedOn w:val="721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25"/>
    <w:uiPriority w:val="99"/>
    <w:semiHidden/>
    <w:unhideWhenUsed/>
    <w:rPr>
      <w:vertAlign w:val="superscript"/>
    </w:rPr>
  </w:style>
  <w:style w:type="paragraph" w:styleId="180">
    <w:name w:val="toc 1"/>
    <w:basedOn w:val="721"/>
    <w:next w:val="721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21"/>
    <w:next w:val="721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21"/>
    <w:next w:val="721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21"/>
    <w:next w:val="721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21"/>
    <w:next w:val="721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21"/>
    <w:next w:val="721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21"/>
    <w:next w:val="721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21"/>
    <w:next w:val="721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21"/>
    <w:next w:val="721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21"/>
    <w:next w:val="721"/>
    <w:uiPriority w:val="99"/>
    <w:unhideWhenUsed/>
    <w:pPr>
      <w:spacing w:after="0" w:afterAutospacing="0"/>
    </w:pPr>
  </w:style>
  <w:style w:type="paragraph" w:styleId="721" w:default="1">
    <w:name w:val="Normal"/>
    <w:qFormat/>
    <w:rPr>
      <w:lang w:val="uk-UA"/>
    </w:rPr>
  </w:style>
  <w:style w:type="paragraph" w:styleId="722">
    <w:name w:val="Heading 2"/>
    <w:basedOn w:val="721"/>
    <w:link w:val="743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paragraph" w:styleId="723">
    <w:name w:val="Heading 3"/>
    <w:basedOn w:val="721"/>
    <w:next w:val="721"/>
    <w:link w:val="760"/>
    <w:uiPriority w:val="9"/>
    <w:semiHidden/>
    <w:unhideWhenUsed/>
    <w:qFormat/>
    <w:pPr>
      <w:keepLines/>
      <w:keepNext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724">
    <w:name w:val="Heading 4"/>
    <w:basedOn w:val="721"/>
    <w:next w:val="721"/>
    <w:link w:val="761"/>
    <w:uiPriority w:val="9"/>
    <w:semiHidden/>
    <w:unhideWhenUsed/>
    <w:qFormat/>
    <w:pPr>
      <w:keepLines/>
      <w:keepNext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725" w:default="1">
    <w:name w:val="Default Paragraph Font"/>
    <w:uiPriority w:val="1"/>
    <w:semiHidden/>
    <w:unhideWhenUsed/>
  </w:style>
  <w:style w:type="table" w:styleId="72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7" w:default="1">
    <w:name w:val="No List"/>
    <w:uiPriority w:val="99"/>
    <w:semiHidden/>
    <w:unhideWhenUsed/>
  </w:style>
  <w:style w:type="paragraph" w:styleId="728">
    <w:name w:val="List Paragraph"/>
    <w:basedOn w:val="721"/>
    <w:link w:val="729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729" w:customStyle="1">
    <w:name w:val="Абзац списку Знак"/>
    <w:link w:val="728"/>
    <w:uiPriority w:val="99"/>
    <w:qFormat/>
    <w:rPr>
      <w:rFonts w:ascii="Calibri" w:hAnsi="Calibri" w:eastAsia="Calibri" w:cs="Calibri"/>
      <w:lang w:eastAsia="zh-CN"/>
    </w:rPr>
  </w:style>
  <w:style w:type="table" w:styleId="730">
    <w:name w:val="Table Grid"/>
    <w:basedOn w:val="726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31" w:customStyle="1">
    <w:name w:val="Сетка таблицы2"/>
    <w:basedOn w:val="726"/>
    <w:next w:val="730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32">
    <w:name w:val="Normal (Web)"/>
    <w:basedOn w:val="721"/>
    <w:link w:val="739"/>
    <w:uiPriority w:val="99"/>
    <w:unhideWhenUsed/>
    <w:qFormat/>
    <w:rPr>
      <w:rFonts w:ascii="Times New Roman" w:hAnsi="Times New Roman" w:cs="Times New Roman"/>
      <w:sz w:val="24"/>
      <w:szCs w:val="24"/>
    </w:rPr>
  </w:style>
  <w:style w:type="table" w:styleId="733" w:customStyle="1">
    <w:name w:val="Сетка таблицы1"/>
    <w:basedOn w:val="726"/>
    <w:next w:val="730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34">
    <w:name w:val="Footer"/>
    <w:basedOn w:val="721"/>
    <w:link w:val="735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735" w:customStyle="1">
    <w:name w:val="Нижній колонтитул Знак"/>
    <w:basedOn w:val="725"/>
    <w:link w:val="734"/>
    <w:uiPriority w:val="99"/>
    <w:rPr>
      <w:rFonts w:ascii="Calibri" w:hAnsi="Calibri" w:eastAsia="Calibri" w:cs="Calibri"/>
      <w:lang w:eastAsia="zh-CN"/>
    </w:rPr>
  </w:style>
  <w:style w:type="paragraph" w:styleId="736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737">
    <w:name w:val="Hyperlink"/>
    <w:basedOn w:val="725"/>
    <w:uiPriority w:val="99"/>
    <w:unhideWhenUsed/>
    <w:rPr>
      <w:color w:val="0563c1" w:themeColor="hyperlink"/>
      <w:u w:val="single"/>
    </w:rPr>
  </w:style>
  <w:style w:type="character" w:styleId="738" w:customStyle="1">
    <w:name w:val="xfm_93972720"/>
    <w:basedOn w:val="725"/>
  </w:style>
  <w:style w:type="character" w:styleId="739" w:customStyle="1">
    <w:name w:val="Звичайний (веб) Знак"/>
    <w:link w:val="732"/>
    <w:qFormat/>
    <w:rPr>
      <w:rFonts w:ascii="Times New Roman" w:hAnsi="Times New Roman" w:cs="Times New Roman"/>
      <w:sz w:val="24"/>
      <w:szCs w:val="24"/>
      <w:lang w:val="uk-UA"/>
    </w:rPr>
  </w:style>
  <w:style w:type="paragraph" w:styleId="740">
    <w:name w:val="Body Text 2"/>
    <w:basedOn w:val="721"/>
    <w:link w:val="741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741" w:customStyle="1">
    <w:name w:val="Основний текст 2 Знак"/>
    <w:basedOn w:val="725"/>
    <w:link w:val="74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42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743" w:customStyle="1">
    <w:name w:val="Заголовок 2 Знак"/>
    <w:basedOn w:val="725"/>
    <w:link w:val="722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744">
    <w:name w:val="No Spacing"/>
    <w:link w:val="745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745" w:customStyle="1">
    <w:name w:val="Без інтервалів Знак"/>
    <w:basedOn w:val="725"/>
    <w:link w:val="744"/>
    <w:uiPriority w:val="1"/>
    <w:rPr>
      <w:rFonts w:ascii="Calibri" w:hAnsi="Calibri" w:eastAsia="Calibri" w:cs="Times New Roman"/>
      <w:lang w:val="uk-UA"/>
    </w:rPr>
  </w:style>
  <w:style w:type="character" w:styleId="746" w:customStyle="1">
    <w:name w:val="Другое_"/>
    <w:basedOn w:val="725"/>
    <w:link w:val="747"/>
    <w:rPr>
      <w:rFonts w:ascii="Calibri" w:hAnsi="Calibri" w:eastAsia="Calibri" w:cs="Calibri"/>
      <w:sz w:val="20"/>
      <w:szCs w:val="20"/>
    </w:rPr>
  </w:style>
  <w:style w:type="paragraph" w:styleId="747" w:customStyle="1">
    <w:name w:val="Другое"/>
    <w:basedOn w:val="721"/>
    <w:link w:val="746"/>
    <w:qFormat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paragraph" w:styleId="748" w:customStyle="1">
    <w:name w:val="Звичайний1"/>
    <w:qFormat/>
    <w:pPr>
      <w:spacing w:after="0" w:line="240" w:lineRule="auto"/>
    </w:pPr>
    <w:rPr>
      <w:rFonts w:ascii="Tms Rmn" w:hAnsi="Tms Rmn" w:eastAsia="Times New Roman" w:cs="Times New Roman"/>
      <w:sz w:val="20"/>
      <w:szCs w:val="20"/>
      <w:lang w:val="uk-UA" w:eastAsia="ru-RU" w:bidi="te-IN"/>
    </w:rPr>
  </w:style>
  <w:style w:type="character" w:styleId="749" w:customStyle="1">
    <w:name w:val="Основной текст (2)_"/>
    <w:basedOn w:val="725"/>
    <w:link w:val="750"/>
    <w:rPr>
      <w:rFonts w:eastAsia="Times New Roman" w:cs="Times New Roman"/>
      <w:shd w:val="clear" w:color="auto" w:fill="ffffff"/>
    </w:rPr>
  </w:style>
  <w:style w:type="paragraph" w:styleId="750" w:customStyle="1">
    <w:name w:val="Основной текст (2)"/>
    <w:basedOn w:val="721"/>
    <w:link w:val="749"/>
    <w:pPr>
      <w:ind w:hanging="700"/>
      <w:jc w:val="both"/>
      <w:spacing w:before="240" w:after="480" w:line="0" w:lineRule="atLeast"/>
      <w:shd w:val="clear" w:color="auto" w:fill="ffffff"/>
      <w:widowControl w:val="off"/>
    </w:pPr>
    <w:rPr>
      <w:rFonts w:eastAsia="Times New Roman" w:cs="Times New Roman"/>
      <w:lang w:val="ru-RU"/>
    </w:rPr>
  </w:style>
  <w:style w:type="character" w:styleId="751" w:customStyle="1">
    <w:name w:val="Текст у виносці Знак"/>
    <w:basedOn w:val="725"/>
    <w:link w:val="752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752">
    <w:name w:val="Balloon Text"/>
    <w:basedOn w:val="721"/>
    <w:link w:val="751"/>
    <w:uiPriority w:val="99"/>
    <w:semiHidden/>
    <w:unhideWhenUsed/>
    <w:pPr>
      <w:spacing w:after="0" w:line="240" w:lineRule="auto"/>
      <w:widowControl w:val="off"/>
    </w:pPr>
    <w:rPr>
      <w:rFonts w:ascii="Segoe UI" w:hAnsi="Segoe UI" w:eastAsia="Times New Roman" w:cs="Segoe UI"/>
      <w:sz w:val="18"/>
      <w:szCs w:val="18"/>
      <w:lang w:val="ru-RU" w:eastAsia="ru-RU"/>
    </w:rPr>
  </w:style>
  <w:style w:type="character" w:styleId="753" w:customStyle="1">
    <w:name w:val="Текст у виносці Знак1"/>
    <w:basedOn w:val="725"/>
    <w:uiPriority w:val="99"/>
    <w:semiHidden/>
    <w:rPr>
      <w:rFonts w:ascii="Segoe UI" w:hAnsi="Segoe UI" w:cs="Segoe UI"/>
      <w:sz w:val="18"/>
      <w:szCs w:val="18"/>
      <w:lang w:val="uk-UA"/>
    </w:rPr>
  </w:style>
  <w:style w:type="character" w:styleId="754" w:customStyle="1">
    <w:name w:val="T23"/>
    <w:rPr>
      <w:rFonts w:hint="default" w:ascii="Times New Roman" w:hAnsi="Times New Roman" w:eastAsia="Times New Roman1" w:cs="Times New Roman"/>
    </w:rPr>
  </w:style>
  <w:style w:type="paragraph" w:styleId="755" w:customStyle="1">
    <w:name w:val="Абзац списку1"/>
    <w:basedOn w:val="721"/>
    <w:uiPriority w:val="99"/>
    <w:qFormat/>
    <w:pPr>
      <w:ind w:left="720"/>
      <w:jc w:val="both"/>
      <w:spacing w:after="0" w:line="276" w:lineRule="auto"/>
    </w:pPr>
    <w:rPr>
      <w:rFonts w:ascii="Times New Roman" w:hAnsi="Times New Roman" w:eastAsia="Calibri" w:cs="Times New Roman"/>
      <w:sz w:val="24"/>
      <w:szCs w:val="24"/>
      <w:lang w:eastAsia="zh-CN" w:bidi="hi-IN"/>
    </w:rPr>
  </w:style>
  <w:style w:type="character" w:styleId="756" w:customStyle="1">
    <w:name w:val="markedcontent"/>
    <w:basedOn w:val="725"/>
  </w:style>
  <w:style w:type="paragraph" w:styleId="757">
    <w:name w:val="annotation text"/>
    <w:basedOn w:val="721"/>
    <w:link w:val="758"/>
    <w:uiPriority w:val="99"/>
    <w:unhideWhenUsed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character" w:styleId="758" w:customStyle="1">
    <w:name w:val="Текст примітки Знак"/>
    <w:basedOn w:val="725"/>
    <w:link w:val="757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759" w:customStyle="1">
    <w:name w:val="docdata"/>
    <w:basedOn w:val="725"/>
  </w:style>
  <w:style w:type="character" w:styleId="760" w:customStyle="1">
    <w:name w:val="Заголовок 3 Знак"/>
    <w:basedOn w:val="725"/>
    <w:link w:val="723"/>
    <w:uiPriority w:val="9"/>
    <w:semiHidden/>
    <w:rPr>
      <w:rFonts w:asciiTheme="majorHAnsi" w:hAnsiTheme="majorHAnsi" w:eastAsiaTheme="majorEastAsia" w:cstheme="majorBidi"/>
      <w:color w:val="1f4d78" w:themeColor="accent1" w:themeShade="7F"/>
      <w:sz w:val="24"/>
      <w:szCs w:val="24"/>
      <w:lang w:val="uk-UA"/>
    </w:rPr>
  </w:style>
  <w:style w:type="character" w:styleId="761" w:customStyle="1">
    <w:name w:val="Заголовок 4 Знак"/>
    <w:basedOn w:val="725"/>
    <w:link w:val="724"/>
    <w:uiPriority w:val="9"/>
    <w:semiHidden/>
    <w:rPr>
      <w:rFonts w:asciiTheme="majorHAnsi" w:hAnsiTheme="majorHAnsi" w:eastAsiaTheme="majorEastAsia" w:cstheme="majorBidi"/>
      <w:i/>
      <w:iCs/>
      <w:color w:val="2e74b5" w:themeColor="accent1" w:themeShade="BF"/>
      <w:lang w:val="uk-UA"/>
    </w:rPr>
  </w:style>
  <w:style w:type="paragraph" w:styleId="762" w:customStyle="1">
    <w:name w:val="name-spec"/>
    <w:basedOn w:val="72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paragraph" w:styleId="763" w:customStyle="1">
    <w:name w:val="cont-spec"/>
    <w:basedOn w:val="72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character" w:styleId="764">
    <w:name w:val="Strong"/>
    <w:basedOn w:val="725"/>
    <w:uiPriority w:val="22"/>
    <w:qFormat/>
    <w:rPr>
      <w:b/>
      <w:bCs/>
    </w:rPr>
  </w:style>
  <w:style w:type="paragraph" w:styleId="765" w:customStyle="1">
    <w:name w:val="rvps2"/>
    <w:basedOn w:val="721"/>
    <w:qFormat/>
    <w:pPr>
      <w:spacing w:before="100" w:beforeAutospacing="1" w:after="100" w:afterAutospacing="1" w:line="240" w:lineRule="auto"/>
    </w:pPr>
    <w:rPr>
      <w:rFonts w:ascii="Times New Roman" w:hAnsi="Times New Roman" w:eastAsia="Calibri" w:cs="Times New Roman"/>
      <w:sz w:val="24"/>
      <w:szCs w:val="24"/>
      <w:lang w:val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hyperlink" Target="https://e-construction.gov.ua/document/optype=33" TargetMode="External"/><Relationship Id="rId12" Type="http://schemas.openxmlformats.org/officeDocument/2006/relationships/hyperlink" Target="https://e-construction.gov.ua/document/optype=33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153</cp:revision>
  <dcterms:created xsi:type="dcterms:W3CDTF">2022-11-01T12:47:00Z</dcterms:created>
  <dcterms:modified xsi:type="dcterms:W3CDTF">2024-04-05T13:12:18Z</dcterms:modified>
</cp:coreProperties>
</file>