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16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обладнання та матеріалів для дообладнання існуючої системи контролю доступу та відеоспостереження ДУ ЦІТ МВС України зі встановленням за кодом CPV за ЄЗС ДК 021:2015 – 35120000-1 Системи та пристрої нагляду та охорони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19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011140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Закупівля обладнання та матеріалів для дообладнання існуючої системи контролю доступу та відеоспостереження ДУ ЦІТ МВС України зі встановленням за кодом CPV за ЄЗС ДК 021:2015 – 35120000-1 Системи та пристрої нагляду та охорони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/>
      <w:bookmarkStart w:id="0" w:name="_Hlk133583335"/>
      <w:r/>
      <w:bookmarkEnd w:id="0"/>
      <w:r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tbl>
      <w:tblPr>
        <w:tblStyle w:val="724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pStyle w:val="726"/>
              <w:rPr>
                <w:b/>
                <w:bCs/>
              </w:rPr>
            </w:pPr>
            <w:r>
              <w:rPr>
                <w:b/>
                <w:bCs/>
                <w:lang w:eastAsia="ru-RU"/>
              </w:rPr>
              <w:t xml:space="preserve">Гнучкий перехід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шт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/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pStyle w:val="726"/>
              <w:rPr>
                <w:b/>
                <w:bCs/>
              </w:rPr>
            </w:pPr>
            <w:r>
              <w:rPr>
                <w:b/>
                <w:bCs/>
                <w:lang w:eastAsia="ru-RU"/>
              </w:rPr>
              <w:t xml:space="preserve">РОЕ – комутатор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шт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</w:t>
            </w:r>
            <w:r/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pStyle w:val="726"/>
              <w:rPr>
                <w:b/>
                <w:bCs/>
              </w:rPr>
            </w:pPr>
            <w:r>
              <w:rPr>
                <w:b/>
                <w:bCs/>
                <w:lang w:eastAsia="ru-RU"/>
              </w:rPr>
              <w:t xml:space="preserve">Відеокамера  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шт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</w:t>
            </w:r>
            <w:r/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pStyle w:val="726"/>
              <w:rPr>
                <w:b/>
                <w:bCs/>
              </w:rPr>
            </w:pPr>
            <w:r>
              <w:rPr>
                <w:b/>
                <w:bCs/>
                <w:lang w:eastAsia="ru-RU"/>
              </w:rPr>
              <w:t xml:space="preserve">Реле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шт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</w:t>
            </w:r>
            <w:r/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pStyle w:val="726"/>
              <w:rPr>
                <w:b/>
                <w:bCs/>
              </w:rPr>
            </w:pPr>
            <w:r>
              <w:rPr>
                <w:b/>
                <w:bCs/>
                <w:lang w:eastAsia="ru-RU"/>
              </w:rPr>
              <w:t xml:space="preserve">Кабель </w:t>
            </w:r>
            <w:r>
              <w:rPr>
                <w:b/>
                <w:bCs/>
                <w:lang w:eastAsia="ru-RU"/>
              </w:rPr>
              <w:t xml:space="preserve">волоконно</w:t>
            </w:r>
            <w:r>
              <w:rPr>
                <w:b/>
                <w:bCs/>
                <w:lang w:eastAsia="ru-RU"/>
              </w:rPr>
              <w:t xml:space="preserve">-оптичний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130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6</w:t>
            </w:r>
            <w:r/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pStyle w:val="726"/>
              <w:rPr>
                <w:b/>
                <w:bCs/>
              </w:rPr>
            </w:pPr>
            <w:r>
              <w:rPr>
                <w:b/>
                <w:bCs/>
                <w:lang w:eastAsia="ru-RU"/>
              </w:rPr>
              <w:t xml:space="preserve">Медіаконвектор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шт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10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</w:t>
            </w:r>
            <w:r/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pStyle w:val="726"/>
              <w:rPr>
                <w:b/>
                <w:bCs/>
              </w:rPr>
            </w:pPr>
            <w:r>
              <w:rPr>
                <w:b/>
                <w:bCs/>
                <w:lang w:eastAsia="ru-RU"/>
              </w:rPr>
              <w:t xml:space="preserve">Гнучка труба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130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8</w:t>
            </w:r>
            <w:r/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pStyle w:val="726"/>
              <w:rPr>
                <w:b/>
                <w:bCs/>
              </w:rPr>
            </w:pPr>
            <w:r>
              <w:rPr>
                <w:b/>
                <w:bCs/>
                <w:lang w:eastAsia="ru-RU"/>
              </w:rPr>
              <w:t xml:space="preserve">Блок управління замком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шт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9</w:t>
            </w:r>
            <w:r/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pStyle w:val="726"/>
              <w:rPr>
                <w:b/>
                <w:bCs/>
              </w:rPr>
            </w:pPr>
            <w:r>
              <w:rPr>
                <w:b/>
                <w:bCs/>
                <w:lang w:eastAsia="ru-RU"/>
              </w:rPr>
              <w:t xml:space="preserve">Датчик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шт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10</w:t>
            </w:r>
            <w:r/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pStyle w:val="726"/>
              <w:rPr>
                <w:b/>
                <w:bCs/>
              </w:rPr>
            </w:pPr>
            <w:r>
              <w:rPr>
                <w:b/>
                <w:bCs/>
                <w:lang w:eastAsia="ru-RU"/>
              </w:rPr>
              <w:t xml:space="preserve">Оптичний </w:t>
            </w:r>
            <w:r>
              <w:rPr>
                <w:b/>
                <w:bCs/>
                <w:lang w:eastAsia="ru-RU"/>
              </w:rPr>
              <w:t xml:space="preserve">мікробокс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шт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11</w:t>
            </w:r>
            <w:r/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pStyle w:val="726"/>
              <w:rPr>
                <w:b/>
                <w:bCs/>
              </w:rPr>
            </w:pPr>
            <w:r>
              <w:rPr>
                <w:b/>
                <w:bCs/>
                <w:lang w:eastAsia="ru-RU"/>
              </w:rPr>
              <w:t xml:space="preserve">Піхтейл</w:t>
            </w:r>
            <w:r>
              <w:rPr>
                <w:b/>
                <w:bCs/>
                <w:lang w:eastAsia="ru-RU"/>
              </w:rPr>
              <w:t xml:space="preserve"> оптичний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шт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10</w:t>
            </w:r>
            <w:r/>
          </w:p>
        </w:tc>
      </w:tr>
    </w:tbl>
    <w:p>
      <w:pPr>
        <w:pStyle w:val="726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pStyle w:val="726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b/>
          <w:bCs/>
          <w:i/>
          <w:iCs/>
          <w:lang w:eastAsia="ru-RU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b/>
          <w:bCs/>
          <w:i/>
          <w:iCs/>
          <w:lang w:eastAsia="ru-RU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b/>
          <w:bCs/>
          <w:i/>
          <w:iCs/>
          <w:lang w:eastAsia="ru-RU"/>
        </w:rPr>
        <w:t xml:space="preserve">проєкту</w:t>
      </w:r>
      <w:r>
        <w:rPr>
          <w:b/>
          <w:bCs/>
          <w:i/>
          <w:iCs/>
          <w:lang w:eastAsia="ru-RU"/>
        </w:rPr>
        <w:t xml:space="preserve"> Договору до моменту його повного завершення; монтаж, встановлення (введення в експлуатацію) Товару.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Характеристики товару повинні відповідати вимогам або бути кращими тих, які наведені в таблиці (характеристики будуть порівнюватися із характеристиками на зазначений товар в Специфікації).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У разі відсутності зазначених вимог, Замовник залишає право відхилити пропозицію запропонованого товару.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1. Товар повинен бути новим. Упаковка, в якій постачається товар, повинна відповідати загальноприйнятим стандартам та технічним умовам, забезпечувати зберігання товару, та/або його неушкодженість при транспортуванні.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2. Технічні та якісні характеристики повинні відповідати вимогам та стандартам відповідних діючих нормативних документів.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 Доставка товару здійснюється за рахунок та силами Постачальника, у терміни попередньо узгоджені, і визначається в кожному випадку замовленням Замовника.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4. Приймання товарів проводиться при наявності товаро супроводжуючих документів, видаткової накладної та копії документів, що підтверджують якість товарів.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5. Учаснику необхідно зазначити конкретну назву, марку, модель Товару, що пропонується для визначення замовником технічних характеристик Товару, що пропонується Учасником.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6.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Вимоги щодо якості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предмет закупівлі повинен бути 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вим, таким, що не перебував в експлуатації, терміни та умови його зберігання не порушені. Якість товару повинна відповідати вимогам відповідних діючих нормативних документів (ДСТУ, ТУ, тощо), екологічним і санітарно-гігієнічним нормам згідно законодавства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України, встановлених для даного виду товару. Якість товару повинна бути підтверджена сертифікатом якості виробника та/або сертифікатом відповідності та/або іншими документами, що підтверджують якість товару. Необхідність посилання на ДСТУ, ТУ, назви вироб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ника ґрунтується на великій кількості не якісного однорідного товару на ринку України зі схожими якісними та фізичними (експлуатаційними) характеристиками. Надати у складі тендерної пропозиції копії документів, що підтверджують вимоги щодо якості на Товар.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Учасник у складі тендерної пропозиції повинен надати гарантійний лист, що товар (фірми виробники товару) не занесені Національним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агенством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 питань запобігання корупції до списку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«Міжнародні спонсори війни».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Учасник у складі тендерної пропозиції надає таблицю відповідності за нижченаведеною формою із зазначенням конкретної назви, марки, моделі Товару.</w:t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0"/>
        <w:tblW w:w="96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20"/>
        <w:gridCol w:w="2736"/>
        <w:gridCol w:w="3310"/>
        <w:gridCol w:w="3052"/>
      </w:tblGrid>
      <w:tr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hanging="1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W w:w="2736" w:type="dxa"/>
            <w:vAlign w:val="center"/>
            <w:textDirection w:val="lrTb"/>
            <w:noWrap w:val="false"/>
          </w:tcPr>
          <w:p>
            <w:pPr>
              <w:contextualSpacing/>
              <w:ind w:left="14" w:hanging="14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Назва, марка, модель</w:t>
            </w:r>
            <w:r/>
          </w:p>
        </w:tc>
        <w:tc>
          <w:tcPr>
            <w:tcW w:w="3310" w:type="dxa"/>
            <w:vAlign w:val="center"/>
            <w:textDirection w:val="lrTb"/>
            <w:noWrap w:val="false"/>
          </w:tcPr>
          <w:p>
            <w:pPr>
              <w:contextualSpacing/>
              <w:ind w:left="14" w:hanging="1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W w:w="3052" w:type="dxa"/>
            <w:vAlign w:val="center"/>
            <w:textDirection w:val="lrTb"/>
            <w:noWrap w:val="false"/>
          </w:tcPr>
          <w:p>
            <w:pPr>
              <w:contextualSpacing/>
              <w:ind w:left="14" w:hanging="14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/>
      <w:bookmarkStart w:id="1" w:name="_Hlk134167948"/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</w:t>
      </w:r>
      <w:bookmarkStart w:id="2" w:name="_Hlk134167935"/>
      <w:r>
        <w:rPr>
          <w:rFonts w:ascii="Times New Roman" w:hAnsi="Times New Roman" w:cs="Times New Roman"/>
          <w:bCs/>
          <w:iCs/>
          <w:sz w:val="24"/>
          <w:szCs w:val="24"/>
        </w:rPr>
        <w:t xml:space="preserve">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bookmarkEnd w:id="1"/>
      <w:bookmarkEnd w:id="2"/>
      <w:r/>
    </w:p>
    <w:p>
      <w:pPr>
        <w:pStyle w:val="722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722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tbl>
      <w:tblPr>
        <w:tblStyle w:val="724"/>
        <w:tblW w:w="9634" w:type="dxa"/>
        <w:tblLook w:val="04A0" w:firstRow="1" w:lastRow="0" w:firstColumn="1" w:lastColumn="0" w:noHBand="0" w:noVBand="1"/>
      </w:tblPr>
      <w:tblGrid>
        <w:gridCol w:w="456"/>
        <w:gridCol w:w="6566"/>
        <w:gridCol w:w="1208"/>
        <w:gridCol w:w="1404"/>
      </w:tblGrid>
      <w:tr>
        <w:trPr/>
        <w:tc>
          <w:tcPr>
            <w:tcW w:w="45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/>
            <w:bookmarkStart w:id="3" w:name="_Hlk134167923"/>
            <w:r/>
            <w:r/>
          </w:p>
        </w:tc>
        <w:tc>
          <w:tcPr>
            <w:tcW w:w="656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обладнання</w:t>
            </w:r>
            <w:r/>
          </w:p>
        </w:tc>
        <w:tc>
          <w:tcPr>
            <w:tcW w:w="12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W w:w="1404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/>
        <w:tc>
          <w:tcPr>
            <w:tcW w:w="45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  <w:tc>
          <w:tcPr>
            <w:tcW w:w="6566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Гнучкий перехід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шт</w:t>
            </w:r>
            <w:r/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gridSpan w:val="4"/>
            <w:tcW w:w="9634" w:type="dxa"/>
            <w:vAlign w:val="center"/>
            <w:textDirection w:val="lrTb"/>
            <w:noWrap w:val="false"/>
          </w:tcPr>
          <w:p>
            <w:pPr>
              <w:pStyle w:val="756"/>
              <w:spacing w:before="0" w:beforeAutospacing="0" w:after="0" w:afterAutospacing="0"/>
            </w:pPr>
            <w:r>
              <w:t xml:space="preserve">Гнучкий перехід дверний короткий, використовується для захисту кабелю від пошкодження і деформації. Зроблений з пластика чорного кольору. тип пристрою:</w:t>
            </w:r>
            <w:r/>
          </w:p>
          <w:p>
            <w:pPr>
              <w:pStyle w:val="757"/>
              <w:spacing w:before="0" w:beforeAutospacing="0" w:after="0" w:afterAutospacing="0"/>
              <w:rPr>
                <w:color w:val="444444"/>
              </w:rPr>
            </w:pPr>
            <w:r/>
            <w:hyperlink r:id="rId11" w:tooltip="https://www.bezpeka-shop.com/ua/catalog/dvernye_perekhody/f/tip_ustroystva-is-gibkiy-perekhod/" w:history="1">
              <w:r>
                <w:rPr>
                  <w:rStyle w:val="731"/>
                  <w:rFonts w:eastAsia="Calibri"/>
                </w:rPr>
                <w:t xml:space="preserve">гнучкий перехід</w:t>
              </w:r>
            </w:hyperlink>
            <w:r>
              <w:t xml:space="preserve">, Тип встановлення: </w:t>
            </w:r>
            <w:hyperlink r:id="rId12" w:tooltip="https://www.bezpeka-shop.com/ua/catalog/dvernye_perekhody/f/tip_ustanovki-is-vnutrennyaya/" w:history="1">
              <w:r>
                <w:rPr>
                  <w:rStyle w:val="731"/>
                  <w:rFonts w:eastAsia="Calibri"/>
                </w:rPr>
                <w:t xml:space="preserve">внутрішнє</w:t>
              </w:r>
            </w:hyperlink>
            <w:r>
              <w:t xml:space="preserve">; </w:t>
            </w:r>
            <w:hyperlink r:id="rId13" w:tooltip="https://www.bezpeka-shop.com/ua/catalog/dvernye_perekhody/f/tip_ustanovki-is-naruzhnaya/" w:history="1">
              <w:r>
                <w:rPr>
                  <w:rStyle w:val="731"/>
                  <w:rFonts w:eastAsia="Calibri"/>
                </w:rPr>
                <w:t xml:space="preserve">зовнішнє</w:t>
              </w:r>
            </w:hyperlink>
            <w:r>
              <w:t xml:space="preserve">, Матеріал: пластик, Колір: </w:t>
            </w:r>
            <w:hyperlink r:id="rId14" w:tooltip="https://www.bezpeka-shop.com/ua/catalog/dvernye_perekhody/f/tsvet-is-chernyy/" w:history="1">
              <w:r>
                <w:rPr>
                  <w:rStyle w:val="731"/>
                  <w:rFonts w:eastAsia="Calibri"/>
                </w:rPr>
                <w:t xml:space="preserve">чорний</w:t>
              </w:r>
            </w:hyperlink>
            <w:r>
              <w:t xml:space="preserve">, Розміри, мм: Ø8 х 33</w:t>
            </w:r>
            <w:r/>
          </w:p>
        </w:tc>
      </w:tr>
      <w:tr>
        <w:trPr/>
        <w:tc>
          <w:tcPr>
            <w:tcW w:w="45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</w:t>
            </w:r>
            <w:r/>
          </w:p>
        </w:tc>
        <w:tc>
          <w:tcPr>
            <w:tcW w:w="6566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РОЕ – комутатор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шт</w:t>
            </w:r>
            <w:r/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gridSpan w:val="4"/>
            <w:tcW w:w="9634" w:type="dxa"/>
            <w:vAlign w:val="center"/>
            <w:textDirection w:val="lrTb"/>
            <w:noWrap w:val="false"/>
          </w:tcPr>
          <w:p>
            <w:pPr>
              <w:pStyle w:val="756"/>
              <w:spacing w:before="0" w:beforeAutospacing="0" w:after="0" w:afterAutospacing="0"/>
            </w:pPr>
            <w:r>
              <w:t xml:space="preserve">Тип пристрою: </w:t>
            </w:r>
            <w:hyperlink r:id="rId15" w:tooltip="https://www.bezpeka-shop.com/ua/catalog/poe/f/tip_ustroystva-is-poe-kommutator/" w:history="1">
              <w:r>
                <w:rPr>
                  <w:rStyle w:val="731"/>
                  <w:rFonts w:eastAsia="Calibri"/>
                </w:rPr>
                <w:t xml:space="preserve">PoE</w:t>
              </w:r>
              <w:r>
                <w:rPr>
                  <w:rStyle w:val="731"/>
                  <w:rFonts w:eastAsia="Calibri"/>
                </w:rPr>
                <w:t xml:space="preserve">-комутатор</w:t>
              </w:r>
            </w:hyperlink>
            <w:r/>
            <w:r/>
          </w:p>
          <w:p>
            <w:pPr>
              <w:pStyle w:val="756"/>
              <w:spacing w:before="0" w:beforeAutospacing="0" w:after="0" w:afterAutospacing="0"/>
            </w:pPr>
            <w:r>
              <w:t xml:space="preserve">Тип комутатора: </w:t>
            </w:r>
            <w:hyperlink r:id="rId16" w:tooltip="https://www.bezpeka-shop.com/ua/catalog/poe/f/tip_kommutatora-is-neupravlyaemyy/" w:history="1">
              <w:r>
                <w:rPr>
                  <w:rStyle w:val="731"/>
                  <w:rFonts w:eastAsia="Calibri"/>
                </w:rPr>
                <w:t xml:space="preserve">некерований</w:t>
              </w:r>
            </w:hyperlink>
            <w:r/>
            <w:r/>
          </w:p>
          <w:p>
            <w:pPr>
              <w:pStyle w:val="756"/>
              <w:spacing w:before="0" w:beforeAutospacing="0" w:after="0" w:afterAutospacing="0"/>
            </w:pPr>
            <w:r>
              <w:t xml:space="preserve">Форм-фактор:</w:t>
            </w:r>
            <w:hyperlink r:id="rId17" w:tooltip="https://www.bezpeka-shop.com/ua/catalog/poe/f/form_faktor_kommutatora-is-nastolnyy/" w:history="1">
              <w:r>
                <w:rPr>
                  <w:rStyle w:val="731"/>
                  <w:rFonts w:eastAsia="Calibri"/>
                </w:rPr>
                <w:t xml:space="preserve">настільний</w:t>
              </w:r>
            </w:hyperlink>
            <w:r/>
            <w:r/>
          </w:p>
          <w:p>
            <w:pPr>
              <w:pStyle w:val="756"/>
              <w:spacing w:before="0" w:beforeAutospacing="0" w:after="0" w:afterAutospacing="0"/>
            </w:pPr>
            <w:r>
              <w:t xml:space="preserve">Загальна кількість портів:</w:t>
            </w:r>
            <w:hyperlink r:id="rId18" w:tooltip="https://www.bezpeka-shop.com/ua/catalog/poe/f/kolichestvo_portov-is-10/" w:history="1">
              <w:r>
                <w:rPr>
                  <w:rStyle w:val="731"/>
                  <w:rFonts w:eastAsia="Calibri"/>
                </w:rPr>
                <w:t xml:space="preserve">10</w:t>
              </w:r>
            </w:hyperlink>
            <w:r/>
            <w:r/>
          </w:p>
          <w:p>
            <w:pPr>
              <w:pStyle w:val="756"/>
              <w:spacing w:before="0" w:beforeAutospacing="0" w:after="0" w:afterAutospacing="0"/>
            </w:pPr>
            <w:r>
              <w:t xml:space="preserve">Кількість портів PoE:</w:t>
            </w:r>
            <w:hyperlink r:id="rId19" w:tooltip="https://www.bezpeka-shop.com/ua/catalog/poe/f/kolichestvo_portov_poe-is-8/" w:history="1">
              <w:r>
                <w:rPr>
                  <w:rStyle w:val="731"/>
                  <w:rFonts w:eastAsia="Calibri"/>
                </w:rPr>
                <w:t xml:space="preserve">8</w:t>
              </w:r>
            </w:hyperlink>
            <w:r/>
            <w:r/>
          </w:p>
          <w:p>
            <w:pPr>
              <w:pStyle w:val="756"/>
              <w:spacing w:before="0" w:beforeAutospacing="0" w:after="0" w:afterAutospacing="0"/>
            </w:pPr>
            <w:r>
              <w:t xml:space="preserve">Порти комутатора:10: 8x10/100 </w:t>
            </w:r>
            <w:r>
              <w:t xml:space="preserve">Mbps</w:t>
            </w:r>
            <w:r>
              <w:t xml:space="preserve"> (</w:t>
            </w:r>
            <w:r>
              <w:t xml:space="preserve">PoE</w:t>
            </w:r>
            <w:r>
              <w:t xml:space="preserve">), 2x10/100 </w:t>
            </w:r>
            <w:r>
              <w:t xml:space="preserve">Mbps</w:t>
            </w:r>
            <w:r>
              <w:t xml:space="preserve"> (</w:t>
            </w:r>
            <w:r>
              <w:t xml:space="preserve">Uplink</w:t>
            </w:r>
            <w:r>
              <w:t xml:space="preserve">)</w:t>
            </w:r>
            <w:r/>
          </w:p>
          <w:p>
            <w:pPr>
              <w:pStyle w:val="756"/>
              <w:spacing w:before="0" w:beforeAutospacing="0" w:after="0" w:afterAutospacing="0"/>
            </w:pPr>
            <w:r>
              <w:t xml:space="preserve">Стандарти:IEEE</w:t>
            </w:r>
            <w:r>
              <w:t xml:space="preserve"> 802.3, IEEE 802.3u, IEEE 802.3x, IEEE 802.3af/</w:t>
            </w:r>
            <w:r>
              <w:t xml:space="preserve">at</w:t>
            </w:r>
            <w:r>
              <w:t xml:space="preserve"> </w:t>
            </w:r>
            <w:r>
              <w:t xml:space="preserve">PoE</w:t>
            </w:r>
            <w:r/>
          </w:p>
          <w:p>
            <w:pPr>
              <w:pStyle w:val="756"/>
              <w:spacing w:before="0" w:beforeAutospacing="0" w:after="0" w:afterAutospacing="0"/>
            </w:pPr>
            <w:r>
              <w:t xml:space="preserve">Відстань до споживача </w:t>
            </w:r>
            <w:r>
              <w:t xml:space="preserve">PoE</w:t>
            </w:r>
            <w:r>
              <w:t xml:space="preserve">, м:</w:t>
            </w:r>
            <w:hyperlink r:id="rId20" w:tooltip="https://www.bezpeka-shop.com/ua/catalog/poe/f/rasstoyanie_do_potrebitelya_poe_m-is-250/" w:history="1">
              <w:r>
                <w:rPr>
                  <w:rStyle w:val="731"/>
                  <w:rFonts w:eastAsia="Calibri"/>
                </w:rPr>
                <w:t xml:space="preserve">250</w:t>
              </w:r>
            </w:hyperlink>
            <w:r/>
            <w:r/>
          </w:p>
          <w:p>
            <w:pPr>
              <w:pStyle w:val="756"/>
              <w:spacing w:before="0" w:beforeAutospacing="0" w:after="0" w:afterAutospacing="0"/>
            </w:pPr>
            <w:r>
              <w:t xml:space="preserve">Напруга </w:t>
            </w:r>
            <w:r>
              <w:t xml:space="preserve">PoE</w:t>
            </w:r>
            <w:r>
              <w:t xml:space="preserve"> на кожному порті, В:48</w:t>
            </w:r>
            <w:r/>
          </w:p>
          <w:p>
            <w:pPr>
              <w:pStyle w:val="756"/>
              <w:spacing w:before="0" w:beforeAutospacing="0" w:after="0" w:afterAutospacing="0"/>
            </w:pPr>
            <w:r>
              <w:t xml:space="preserve">Потужність кожного порту </w:t>
            </w:r>
            <w:r>
              <w:t xml:space="preserve">PoE</w:t>
            </w:r>
            <w:r>
              <w:t xml:space="preserve">, Вт:30</w:t>
            </w:r>
            <w:r/>
          </w:p>
          <w:p>
            <w:pPr>
              <w:pStyle w:val="756"/>
              <w:spacing w:before="0" w:beforeAutospacing="0" w:after="0" w:afterAutospacing="0"/>
            </w:pPr>
            <w:r>
              <w:t xml:space="preserve">Максимальна потужність, Вт:96</w:t>
            </w:r>
            <w:r/>
          </w:p>
          <w:p>
            <w:pPr>
              <w:pStyle w:val="756"/>
              <w:spacing w:before="0" w:beforeAutospacing="0" w:after="0" w:afterAutospacing="0"/>
            </w:pPr>
            <w:r>
              <w:t xml:space="preserve">Напруга живлення / джерело </w:t>
            </w:r>
            <w:r>
              <w:t xml:space="preserve">живлення:DC</w:t>
            </w:r>
            <w:r>
              <w:t xml:space="preserve"> 48-57 В</w:t>
            </w:r>
            <w:r/>
          </w:p>
          <w:p>
            <w:pPr>
              <w:pStyle w:val="756"/>
              <w:spacing w:before="0" w:beforeAutospacing="0" w:after="0" w:afterAutospacing="0"/>
            </w:pPr>
            <w:r>
              <w:t xml:space="preserve">Робоча температура, °C:-10 ~ +55</w:t>
            </w:r>
            <w:r/>
          </w:p>
          <w:p>
            <w:pPr>
              <w:pStyle w:val="756"/>
              <w:spacing w:before="0" w:beforeAutospacing="0" w:after="0" w:afterAutospacing="0"/>
              <w:rPr>
                <w:color w:val="181818"/>
              </w:rPr>
            </w:pPr>
            <w:r>
              <w:t xml:space="preserve">Розміри, мм:190 х 100 х 30</w:t>
            </w:r>
            <w:bookmarkEnd w:id="3"/>
            <w:r/>
          </w:p>
        </w:tc>
      </w:tr>
      <w:tr>
        <w:trPr/>
        <w:tc>
          <w:tcPr>
            <w:tcW w:w="45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</w:t>
            </w:r>
            <w:r/>
          </w:p>
        </w:tc>
        <w:tc>
          <w:tcPr>
            <w:tcW w:w="6566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Відеокамера  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шт</w:t>
            </w:r>
            <w:r/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</w:t>
            </w:r>
            <w:r/>
          </w:p>
        </w:tc>
      </w:tr>
      <w:tr>
        <w:trPr/>
        <w:tc>
          <w:tcPr>
            <w:gridSpan w:val="4"/>
            <w:tcW w:w="9634" w:type="dxa"/>
            <w:vAlign w:val="center"/>
            <w:textDirection w:val="lrTb"/>
            <w:noWrap w:val="false"/>
          </w:tcPr>
          <w:p>
            <w:pPr>
              <w:pStyle w:val="726"/>
            </w:pPr>
            <w:r>
              <w:t xml:space="preserve">Мініатюрна 2 </w:t>
            </w:r>
            <w:r>
              <w:t xml:space="preserve">мегапіксельна</w:t>
            </w:r>
            <w:r>
              <w:t xml:space="preserve"> IP відеокамера з інфрачервоним підсвічуванням. Камера повинна бути виконана в форм-факторі </w:t>
            </w:r>
            <w:r>
              <w:t xml:space="preserve">Turret</w:t>
            </w:r>
            <w:r>
              <w:t xml:space="preserve">, матеріал корпусу з металу, а нижнє кріплення з пластику. Зовнішні інтерфейси представлені у вигляді косички з двома роз’ємами тип мама: живлення DC 12В і мережевий інтерфейс RJ45 з підтримкою </w:t>
            </w:r>
            <w:r>
              <w:t xml:space="preserve">PoE</w:t>
            </w:r>
            <w:r>
              <w:t xml:space="preserve">. Камера повинна бути оснащена </w:t>
            </w:r>
            <w:r>
              <w:t xml:space="preserve">оснащена</w:t>
            </w:r>
            <w:r>
              <w:t xml:space="preserve"> сенсором 1/2.7 "з максимальною роздільною здатністю 1080р і швидкістю запису 25 кадрів/с., </w:t>
            </w:r>
            <w:r>
              <w:t xml:space="preserve">варіофокальним</w:t>
            </w:r>
            <w:r>
              <w:t xml:space="preserve"> об’єктивом з фокусом 2.8-12 мм і кутом огляду по горизонталі 108,5 ° -33,2 °, режимом день/ніч з дальністю ІЧ підсвічування до 30 метрів. Експлуатація при температурах від -30 ° C до + 60 ° C, ступінь захисту відповідає стандарту IP67.</w:t>
            </w:r>
            <w:r/>
          </w:p>
          <w:p>
            <w:pPr>
              <w:pStyle w:val="717"/>
              <w:spacing w:before="0"/>
              <w:rPr>
                <w:rFonts w:ascii="Times New Roman" w:hAnsi="Times New Roman" w:cs="Times New Roman"/>
                <w:color w:val="auto"/>
              </w:rPr>
              <w:outlineLvl w:val="2"/>
            </w:pPr>
            <w:r>
              <w:rPr>
                <w:rFonts w:ascii="Times New Roman" w:hAnsi="Times New Roman" w:cs="Times New Roman"/>
                <w:color w:val="auto"/>
              </w:rPr>
              <w:t xml:space="preserve">Особливості:</w:t>
            </w:r>
            <w:r/>
          </w:p>
          <w:p>
            <w:pPr>
              <w:numPr>
                <w:ilvl w:val="0"/>
                <w:numId w:val="3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 роздільна здатність 1920х1080 (2МП )</w:t>
            </w:r>
            <w:r/>
          </w:p>
          <w:p>
            <w:pPr>
              <w:numPr>
                <w:ilvl w:val="0"/>
                <w:numId w:val="3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1/2.7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Progressive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CMOS</w:t>
            </w:r>
            <w:r/>
          </w:p>
          <w:p>
            <w:pPr>
              <w:numPr>
                <w:ilvl w:val="0"/>
                <w:numId w:val="3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Стандарт стиснення H.264 +, H.264, H.265 +, H.265</w:t>
            </w:r>
            <w:r/>
          </w:p>
          <w:p>
            <w:pPr>
              <w:numPr>
                <w:ilvl w:val="0"/>
                <w:numId w:val="3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Фокусна відстань :2.8-12 мм.</w:t>
            </w:r>
            <w:r/>
          </w:p>
          <w:p>
            <w:pPr>
              <w:numPr>
                <w:ilvl w:val="0"/>
                <w:numId w:val="3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DWDR/BLC/3D-DNR/ROI</w:t>
            </w:r>
            <w:r/>
          </w:p>
          <w:p>
            <w:pPr>
              <w:numPr>
                <w:ilvl w:val="0"/>
                <w:numId w:val="3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Подвійний потік</w:t>
            </w:r>
            <w:r/>
          </w:p>
          <w:p>
            <w:pPr>
              <w:numPr>
                <w:ilvl w:val="0"/>
                <w:numId w:val="3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Ступінь захисту:IP67</w:t>
            </w:r>
            <w:r/>
          </w:p>
          <w:p>
            <w:pPr>
              <w:numPr>
                <w:ilvl w:val="0"/>
                <w:numId w:val="3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ІЧ до 30 метрів</w:t>
            </w:r>
            <w:r/>
          </w:p>
          <w:p>
            <w:pPr>
              <w:numPr>
                <w:ilvl w:val="0"/>
                <w:numId w:val="3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PoE</w:t>
            </w:r>
            <w:r/>
          </w:p>
        </w:tc>
      </w:tr>
      <w:tr>
        <w:trPr/>
        <w:tc>
          <w:tcPr>
            <w:tcW w:w="45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</w:t>
            </w:r>
            <w:r/>
          </w:p>
        </w:tc>
        <w:tc>
          <w:tcPr>
            <w:tcW w:w="6566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Реле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шт</w:t>
            </w:r>
            <w:r/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</w:t>
            </w:r>
            <w:r/>
          </w:p>
        </w:tc>
      </w:tr>
      <w:tr>
        <w:trPr/>
        <w:tc>
          <w:tcPr>
            <w:gridSpan w:val="4"/>
            <w:tcW w:w="9634" w:type="dxa"/>
            <w:vAlign w:val="center"/>
            <w:textDirection w:val="lrTb"/>
            <w:noWrap w:val="false"/>
          </w:tcPr>
          <w:p>
            <w:pPr>
              <w:pStyle w:val="726"/>
              <w:shd w:val="clear" w:color="auto" w:fill="ffffff"/>
            </w:pPr>
            <w:r>
              <w:t xml:space="preserve">Бездротове реле з сухим контактом </w:t>
            </w:r>
            <w:r>
              <w:rPr>
                <w:rStyle w:val="758"/>
                <w:b w:val="0"/>
                <w:bCs w:val="0"/>
              </w:rPr>
              <w:t xml:space="preserve">повинно</w:t>
            </w:r>
            <w:r>
              <w:t xml:space="preserve"> використовуватися для дистанційного керування побутовими приладами та дозволяти віддалено вмикати або вимикати прилади, живитися від джерела живлення 7-24 В постійного струму загальною потужністю не більше 3 кВт. Повинен працювати як кнопка або тумблер. </w:t>
            </w:r>
            <w:r/>
          </w:p>
          <w:p>
            <w:pPr>
              <w:pStyle w:val="718"/>
              <w:spacing w:before="0"/>
              <w:shd w:val="clear" w:color="auto" w:fill="ffffff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outlineLvl w:val="3"/>
            </w:pPr>
            <w:r>
              <w:rPr>
                <w:rStyle w:val="758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Особливості:</w:t>
            </w:r>
            <w:r/>
          </w:p>
          <w:p>
            <w:pPr>
              <w:numPr>
                <w:ilvl w:val="0"/>
                <w:numId w:val="3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Дозволяє включати і вимикати прилади, віддалено за допомогою мобільного додатку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"https://itunes.apple.com/us/developer/ajax-systems-inc/id1063166246" \o "iOS"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731"/>
                <w:rFonts w:ascii="Times New Roman" w:hAnsi="Times New Roman" w:cs="Times New Roman"/>
                <w:sz w:val="24"/>
                <w:szCs w:val="24"/>
              </w:rPr>
              <w:t xml:space="preserve">iOS</w:t>
            </w:r>
            <w:r>
              <w:rPr>
                <w:rStyle w:val="731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"https://play.google.com/store/apps/details?id=com.ajaxsystems" \o "Android"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731"/>
                <w:rFonts w:ascii="Times New Roman" w:hAnsi="Times New Roman" w:cs="Times New Roman"/>
                <w:sz w:val="24"/>
                <w:szCs w:val="24"/>
              </w:rPr>
              <w:t xml:space="preserve">Android</w:t>
            </w:r>
            <w:r>
              <w:rPr>
                <w:rStyle w:val="731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або браузера;</w:t>
            </w:r>
            <w:r/>
          </w:p>
          <w:p>
            <w:pPr>
              <w:numPr>
                <w:ilvl w:val="0"/>
                <w:numId w:val="3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Тримає зв'язок на відстані до 1000 метрів (за умови прямої видимості);</w:t>
            </w:r>
            <w:r/>
          </w:p>
          <w:p>
            <w:pPr>
              <w:numPr>
                <w:ilvl w:val="0"/>
                <w:numId w:val="3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Володіє функцією імпульсного режиму управління обладнанням;</w:t>
            </w:r>
            <w:r/>
          </w:p>
          <w:p>
            <w:pPr>
              <w:numPr>
                <w:ilvl w:val="0"/>
                <w:numId w:val="3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контролю працездатності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пінгуєтся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періодом від 12 секунд;</w:t>
            </w:r>
            <w:r/>
          </w:p>
          <w:p>
            <w:pPr>
              <w:numPr>
                <w:ilvl w:val="0"/>
                <w:numId w:val="3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Виносна антена для поліпшення прийому;</w:t>
            </w:r>
            <w:r/>
          </w:p>
          <w:p>
            <w:pPr>
              <w:numPr>
                <w:ilvl w:val="0"/>
                <w:numId w:val="3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Діапазон робочих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7 - 24 В;</w:t>
            </w:r>
            <w:r/>
          </w:p>
          <w:p>
            <w:pPr>
              <w:numPr>
                <w:ilvl w:val="0"/>
                <w:numId w:val="3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Зберігає настройки після перебоїв в живленні;</w:t>
            </w:r>
            <w:r/>
          </w:p>
          <w:p>
            <w:pPr>
              <w:numPr>
                <w:ilvl w:val="0"/>
                <w:numId w:val="3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Захист від перепадів напруги і перегріву;</w:t>
            </w:r>
            <w:r/>
          </w:p>
          <w:p>
            <w:pPr>
              <w:numPr>
                <w:ilvl w:val="0"/>
                <w:numId w:val="3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Встановлюється в типові коробки, електрощити, комутаційні корпусу.</w:t>
            </w:r>
            <w:r/>
          </w:p>
        </w:tc>
      </w:tr>
      <w:tr>
        <w:trPr/>
        <w:tc>
          <w:tcPr>
            <w:tcW w:w="45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</w:t>
            </w:r>
            <w:r/>
          </w:p>
        </w:tc>
        <w:tc>
          <w:tcPr>
            <w:tcW w:w="6566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Кабель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волоконно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-оптичний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</w:t>
            </w:r>
            <w:r/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130</w:t>
            </w:r>
            <w:r/>
          </w:p>
        </w:tc>
      </w:tr>
      <w:tr>
        <w:trPr/>
        <w:tc>
          <w:tcPr>
            <w:gridSpan w:val="4"/>
            <w:tcW w:w="9634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 xml:space="preserve">Кабель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 xml:space="preserve">волоконно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 xml:space="preserve">-оптичний призначений для зовнішньої прокладки, повинен підходить для використання в повітроводах і прокладки в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 xml:space="preserve">грунті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 xml:space="preserve">. 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Основні характеристики:</w:t>
            </w:r>
            <w:r/>
          </w:p>
          <w:p>
            <w:pPr>
              <w:numPr>
                <w:ilvl w:val="0"/>
                <w:numId w:val="3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Кількість волокон: 8 </w:t>
            </w:r>
            <w:r/>
          </w:p>
          <w:p>
            <w:pPr>
              <w:numPr>
                <w:ilvl w:val="0"/>
                <w:numId w:val="3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Використовується для зовнішньої прокладки, підходить для використання в повітроводах і прокладки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грунті</w:t>
            </w:r>
            <w:r/>
          </w:p>
          <w:p>
            <w:pPr>
              <w:numPr>
                <w:ilvl w:val="0"/>
                <w:numId w:val="3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Броня -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гофована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сталева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стрічкая</w:t>
            </w:r>
            <w:r/>
          </w:p>
          <w:p>
            <w:pPr>
              <w:numPr>
                <w:ilvl w:val="0"/>
                <w:numId w:val="3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Тип кабелю: UT</w:t>
            </w:r>
            <w:r/>
          </w:p>
          <w:p>
            <w:pPr>
              <w:numPr>
                <w:ilvl w:val="0"/>
                <w:numId w:val="3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Зовнішня оболонка з поліетилену </w:t>
            </w:r>
            <w:r/>
          </w:p>
          <w:p>
            <w:pPr>
              <w:numPr>
                <w:ilvl w:val="0"/>
                <w:numId w:val="3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Навантаження на розтяг - 1,5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кН</w:t>
            </w:r>
            <w:r/>
          </w:p>
          <w:p>
            <w:pPr>
              <w:numPr>
                <w:ilvl w:val="0"/>
                <w:numId w:val="34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Колірне маркування волокон-червоний/зелений/синій/жовтий/білий/сірий/коричневий/фіолетовий</w:t>
            </w:r>
            <w:r/>
          </w:p>
        </w:tc>
      </w:tr>
      <w:tr>
        <w:trPr/>
        <w:tc>
          <w:tcPr>
            <w:tcW w:w="45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</w:t>
            </w:r>
            <w:r/>
          </w:p>
        </w:tc>
        <w:tc>
          <w:tcPr>
            <w:tcW w:w="6566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Медіаконвектор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шт</w:t>
            </w:r>
            <w:r/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</w:t>
            </w:r>
            <w:r/>
          </w:p>
        </w:tc>
      </w:tr>
      <w:tr>
        <w:trPr/>
        <w:tc>
          <w:tcPr>
            <w:gridSpan w:val="4"/>
            <w:tcW w:w="9634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Тип волокна MM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Multimode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)</w:t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Мережеві інтерфейси Порт 1000Base-T. Порт 1000Base-SX з роз'ємом SC</w:t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Інші інтерфейси Роз'єм для підключення адаптера живлення</w:t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Параметри навколишнього середовища Температура: робоча – від 0 до 40 °C, зберігання – від -25 до 70 °C. Вологість: від 10 до 90% без конденсату.</w:t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Підтримка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PoE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Ні</w:t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Джерело живлення 5 В / 1 А</w:t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Споживана потужність до 2,575 Вт</w:t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Комплектація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Медіаконвертер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; Адаптер живлення; Короткий посібник із встановлення.</w:t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Розміри 88 x 120 x 25 мм</w:t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Вага 302 г</w:t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Інше Індикатори: PWR,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Link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Act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. Перемикачі: Режим роботи оптичного порту (Фіксований/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Автоузгодження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), LLR. Підтримка стандартів: IEEE 802.3ab 1000Base-T, IEEE 802.3z 1000Base-SX. Дуплексний режим: Повний дуплекс. Швидкість передачі: до 2000 Мбіт/с (повний дуплекс). Функції: автоматичне визначення MDI/MDIX, передача повної швидкості каналу, LLR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Link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Loss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Return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), LLCF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Link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Loss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Carry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Forward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). Можливість використання як окремий пристрій або при установці в шасі. Гаряча заміна при встановленні в шасі. Метод комутації: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Store-and-forward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. Максимальний розмір кадру: без обмежень. Управління: через шасі DMC-1000 із встановленим модулем управління DMC-1002. MTBF: 669 668 годин</w:t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Довжина хвилі, нм 850</w:t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Робоча дистанція 550м</w:t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Тип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конектора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RJ-45, SC</w:t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Інтерфейси 1000Base-SX, 1Gbit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Ethernet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 RJ-45</w:t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Швидкість передачі даних 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Гб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/с</w:t>
            </w:r>
            <w:r/>
          </w:p>
        </w:tc>
      </w:tr>
      <w:tr>
        <w:trPr/>
        <w:tc>
          <w:tcPr>
            <w:tcW w:w="45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</w:t>
            </w:r>
            <w:r/>
          </w:p>
        </w:tc>
        <w:tc>
          <w:tcPr>
            <w:tcW w:w="6566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Гнучка труба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</w:t>
            </w:r>
            <w:r/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130</w:t>
            </w:r>
            <w:r/>
          </w:p>
        </w:tc>
      </w:tr>
      <w:tr>
        <w:trPr/>
        <w:tc>
          <w:tcPr>
            <w:gridSpan w:val="4"/>
            <w:tcW w:w="9634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Довжина: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30 м Матеріал: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ПВХ Довжина бухти: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30 м Діаметр системи поливу: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1/2'' Кратність продажу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шланга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упаковці Вид фурнітури: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розбризкувач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Діаметр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шланга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внутрішній: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1,2 см.</w:t>
            </w:r>
            <w:r/>
          </w:p>
        </w:tc>
      </w:tr>
      <w:tr>
        <w:trPr/>
        <w:tc>
          <w:tcPr>
            <w:tcW w:w="45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</w:t>
            </w:r>
            <w:r/>
          </w:p>
        </w:tc>
        <w:tc>
          <w:tcPr>
            <w:tcW w:w="6566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Блок управління замком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шт</w:t>
            </w:r>
            <w:r/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gridSpan w:val="4"/>
            <w:tcW w:w="9634" w:type="dxa"/>
            <w:vAlign w:val="center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Використовується для відкриття електромеханічного замку без додаткового блоку живлення;</w:t>
            </w:r>
            <w:r/>
          </w:p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Може працювати з усіма видами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домофонів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 електромеханічних замків і засувок;</w:t>
            </w:r>
            <w:r/>
          </w:p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Вхідна напруга: 9 ~ 15 В;</w:t>
            </w:r>
            <w:r/>
          </w:p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Струм при заряді: 80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(&lt;0,5 с);</w:t>
            </w:r>
            <w:r/>
          </w:p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Струм в режимі очікування: 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;</w:t>
            </w:r>
            <w:r/>
          </w:p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Захист від залипання котушки,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переплюсовкі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 зворотної напруги;</w:t>
            </w:r>
            <w:r/>
          </w:p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Робоча температура: -30 ° C ~ + 70 ° C;</w:t>
            </w:r>
            <w:r/>
          </w:p>
        </w:tc>
      </w:tr>
      <w:tr>
        <w:trPr/>
        <w:tc>
          <w:tcPr>
            <w:tcW w:w="45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</w:t>
            </w:r>
            <w:r/>
          </w:p>
        </w:tc>
        <w:tc>
          <w:tcPr>
            <w:tcW w:w="6566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Датчик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шт</w:t>
            </w:r>
            <w:r/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gridSpan w:val="4"/>
            <w:tcW w:w="96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5"/>
              </w:numPr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Бездротовий охоронний оптико-електронний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радіоканальний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сповіщувач з фотокамерою;</w:t>
            </w:r>
            <w:r/>
          </w:p>
          <w:p>
            <w:pPr>
              <w:numPr>
                <w:ilvl w:val="0"/>
                <w:numId w:val="35"/>
              </w:numPr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Діяльність визначення руху - до 12 метрів;</w:t>
            </w:r>
            <w:r/>
          </w:p>
          <w:p>
            <w:pPr>
              <w:numPr>
                <w:ilvl w:val="0"/>
                <w:numId w:val="35"/>
              </w:numPr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Ігнорує домашніх тварин вагою до 20 кг, висотою до 50 см;</w:t>
            </w:r>
            <w:r/>
          </w:p>
          <w:p>
            <w:pPr>
              <w:numPr>
                <w:ilvl w:val="0"/>
                <w:numId w:val="35"/>
              </w:numPr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Кут огляду датчика руху: по горизонталі 88.5 °, по вертикалі 80 °;</w:t>
            </w:r>
            <w:r/>
          </w:p>
          <w:p>
            <w:pPr>
              <w:numPr>
                <w:ilvl w:val="0"/>
                <w:numId w:val="35"/>
              </w:numPr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Кут огляду камери 90 °;</w:t>
            </w:r>
            <w:r/>
          </w:p>
          <w:p>
            <w:pPr>
              <w:numPr>
                <w:ilvl w:val="0"/>
                <w:numId w:val="35"/>
              </w:numPr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Час доставки сигналу тривозі 0.15 с;</w:t>
            </w:r>
            <w:r/>
          </w:p>
          <w:p>
            <w:pPr>
              <w:numPr>
                <w:ilvl w:val="0"/>
                <w:numId w:val="35"/>
              </w:numPr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Час доставки фотографії при настройках за умовчанням: до 9 секунд;</w:t>
            </w:r>
            <w:r/>
          </w:p>
          <w:p>
            <w:pPr>
              <w:numPr>
                <w:ilvl w:val="0"/>
                <w:numId w:val="35"/>
              </w:numPr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Роздільна здатність фото: до 640 × 480 пікселів, серія містить до 5 знімків;</w:t>
            </w:r>
            <w:r/>
          </w:p>
          <w:p>
            <w:pPr>
              <w:numPr>
                <w:ilvl w:val="0"/>
                <w:numId w:val="35"/>
              </w:numPr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Інфрачервоне підсвічування для зйомки в темряві;</w:t>
            </w:r>
            <w:r/>
          </w:p>
          <w:p>
            <w:pPr>
              <w:numPr>
                <w:ilvl w:val="0"/>
                <w:numId w:val="35"/>
              </w:numPr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Максимальна відстань між датчиком і центральним блоком становить 1700 м в умовах прямої видимості;</w:t>
            </w:r>
            <w:r/>
          </w:p>
          <w:p>
            <w:pPr>
              <w:numPr>
                <w:ilvl w:val="0"/>
                <w:numId w:val="35"/>
              </w:numPr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Датчик використовує для передачі сигналу частоту загального призначення 868 МГц, яка не вимагає ліцензії на використання;</w:t>
            </w:r>
            <w:r/>
          </w:p>
          <w:p>
            <w:pPr>
              <w:numPr>
                <w:ilvl w:val="0"/>
                <w:numId w:val="35"/>
              </w:numPr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Легко встановлюється і налаштовується без спеціальних знань;</w:t>
            </w:r>
            <w:r/>
          </w:p>
          <w:p>
            <w:pPr>
              <w:numPr>
                <w:ilvl w:val="0"/>
                <w:numId w:val="35"/>
              </w:numPr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Монтаж датчика за допомогою смарт-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креплени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й зручний і не зашкодить ремонт;</w:t>
            </w:r>
            <w:r/>
          </w:p>
          <w:p>
            <w:pPr>
              <w:numPr>
                <w:ilvl w:val="0"/>
                <w:numId w:val="35"/>
              </w:numPr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Датчик регулярно передає сигнали тестування на центральний блок, причому період опитування датчиків можна регулювати за власним розсудом. У разі, якщо датчик спробують вкрасти або зламати, централь охоронної системи негайно дізнається про це 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сигнал тривоги;</w:t>
            </w:r>
            <w:r/>
          </w:p>
          <w:p>
            <w:pPr>
              <w:numPr>
                <w:ilvl w:val="0"/>
                <w:numId w:val="35"/>
              </w:numPr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Для надійного контролю роботи систем сигналізації датчик регулярно передає сигнал про розряд своєї батареї на центральний блок, користувач буде своєчасно сповіщений про необхідність замінити батарею в датчику;</w:t>
            </w:r>
            <w:r/>
          </w:p>
          <w:p>
            <w:pPr>
              <w:numPr>
                <w:ilvl w:val="0"/>
                <w:numId w:val="35"/>
              </w:numPr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Передана датчиком інформація захищена від перехоплення і спроби підміни;</w:t>
            </w:r>
            <w:r/>
          </w:p>
          <w:p>
            <w:pPr>
              <w:numPr>
                <w:ilvl w:val="0"/>
                <w:numId w:val="35"/>
              </w:numPr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Чутливість датчика регулюється. Можна підібрати оптимальну чутливість датчика виходячи з розмірів домашньої тварини, яке буде знаходитися в приміщенні;</w:t>
            </w:r>
            <w:r/>
          </w:p>
          <w:p>
            <w:pPr>
              <w:numPr>
                <w:ilvl w:val="0"/>
                <w:numId w:val="35"/>
              </w:numPr>
              <w:shd w:val="clear" w:color="auto" w:fill="ffff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Корпус датчика захищений від розтину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тампер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;</w:t>
            </w:r>
            <w:r/>
          </w:p>
        </w:tc>
      </w:tr>
      <w:tr>
        <w:trPr/>
        <w:tc>
          <w:tcPr>
            <w:tcW w:w="45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</w:t>
            </w:r>
            <w:r/>
          </w:p>
        </w:tc>
        <w:tc>
          <w:tcPr>
            <w:tcW w:w="6566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Оптичний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мікробокс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шт</w:t>
            </w:r>
            <w:r/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</w:t>
            </w:r>
            <w:r/>
          </w:p>
        </w:tc>
      </w:tr>
      <w:tr>
        <w:trPr/>
        <w:tc>
          <w:tcPr>
            <w:gridSpan w:val="4"/>
            <w:tcW w:w="9634" w:type="dxa"/>
            <w:vAlign w:val="center"/>
            <w:textDirection w:val="lrTb"/>
            <w:noWrap w:val="false"/>
          </w:tcPr>
          <w:p>
            <w:pPr>
              <w:pStyle w:val="726"/>
              <w:ind w:left="22"/>
            </w:pPr>
            <w:r>
              <w:t xml:space="preserve">Настінний оптичний міні-бокс.</w:t>
            </w:r>
            <w:r>
              <w:br/>
              <w:t xml:space="preserve">Дозволяє зрощувати до 6-12 оптичних волокон.</w:t>
            </w:r>
            <w:r>
              <w:br/>
              <w:t xml:space="preserve">Місця під оптичні адаптери: до 4-х.</w:t>
            </w:r>
            <w:r>
              <w:br/>
              <w:t xml:space="preserve">Ємність-від 6 до 12 сварок.</w:t>
            </w:r>
            <w:r>
              <w:br/>
              <w:t xml:space="preserve">Введення двох оптичних кабелів.</w:t>
            </w:r>
            <w:r/>
          </w:p>
          <w:p>
            <w:pPr>
              <w:pStyle w:val="726"/>
              <w:ind w:left="22"/>
              <w:rPr>
                <w:rStyle w:val="758"/>
                <w:b w:val="0"/>
                <w:bCs w:val="0"/>
              </w:rPr>
            </w:pPr>
            <w:r>
              <w:rPr>
                <w:rStyle w:val="758"/>
                <w:b w:val="0"/>
                <w:bCs w:val="0"/>
              </w:rPr>
              <w:t xml:space="preserve">У комплекті 6 гільз.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тип обладнання Мікро-бокс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Тип адаптера SC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Simplex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 LC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Duplex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К-ть адаптерів боксу 12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Макс. кількість зварок 12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Матеріал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бокса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Пластиковий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Розміри 152x105x32 мм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Колір Білий</w:t>
            </w:r>
            <w:r/>
          </w:p>
        </w:tc>
      </w:tr>
      <w:tr>
        <w:trPr/>
        <w:tc>
          <w:tcPr>
            <w:tcW w:w="45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</w:t>
            </w:r>
            <w:r/>
          </w:p>
        </w:tc>
        <w:tc>
          <w:tcPr>
            <w:tcW w:w="6566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Піхтейл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оптичний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шт</w:t>
            </w:r>
            <w:r/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</w:t>
            </w:r>
            <w:r/>
          </w:p>
        </w:tc>
      </w:tr>
      <w:tr>
        <w:trPr/>
        <w:tc>
          <w:tcPr>
            <w:gridSpan w:val="4"/>
            <w:tcW w:w="9634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Внутрішній оптичний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пігтейл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довжиною 1.5 м; тип роз'єму SC; тип полірування APC; волокно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Simplex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Singlemode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; діаметр кабелю 0.9 мм</w:t>
            </w:r>
            <w:r/>
          </w:p>
          <w:p>
            <w:pPr>
              <w:numPr>
                <w:ilvl w:val="0"/>
                <w:numId w:val="36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Довжина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пігтейла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: 1.5 метри</w:t>
            </w:r>
            <w:r/>
          </w:p>
          <w:p>
            <w:pPr>
              <w:numPr>
                <w:ilvl w:val="0"/>
                <w:numId w:val="36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Роз'єм: SC</w:t>
            </w:r>
            <w:r/>
          </w:p>
          <w:p>
            <w:pPr>
              <w:numPr>
                <w:ilvl w:val="0"/>
                <w:numId w:val="36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Тип полірування: APC</w:t>
            </w:r>
            <w:r/>
          </w:p>
          <w:p>
            <w:pPr>
              <w:numPr>
                <w:ilvl w:val="0"/>
                <w:numId w:val="36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Мода волокна: 9/125μm</w:t>
            </w:r>
            <w:r/>
          </w:p>
          <w:p>
            <w:pPr>
              <w:numPr>
                <w:ilvl w:val="0"/>
                <w:numId w:val="36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Тип волокна: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Simplex</w:t>
            </w:r>
            <w:r/>
          </w:p>
          <w:p>
            <w:pPr>
              <w:numPr>
                <w:ilvl w:val="0"/>
                <w:numId w:val="36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Клас волокна: G.652.D</w:t>
            </w:r>
            <w:r/>
          </w:p>
          <w:p>
            <w:pPr>
              <w:numPr>
                <w:ilvl w:val="0"/>
                <w:numId w:val="36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Мінімальний радіус вигину: 30 мм</w:t>
            </w:r>
            <w:r/>
          </w:p>
          <w:p>
            <w:pPr>
              <w:numPr>
                <w:ilvl w:val="0"/>
                <w:numId w:val="36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Діаметр кабелю: 0.9 мм</w:t>
            </w:r>
            <w:r/>
          </w:p>
          <w:p>
            <w:pPr>
              <w:numPr>
                <w:ilvl w:val="0"/>
                <w:numId w:val="36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Матеріал оболонки: ПВХ, колір білий</w:t>
            </w:r>
            <w:r/>
          </w:p>
          <w:p>
            <w:pPr>
              <w:numPr>
                <w:ilvl w:val="0"/>
                <w:numId w:val="36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Довжина хвилі: 1310 нм/1550 нм</w:t>
            </w:r>
            <w:r/>
          </w:p>
          <w:p>
            <w:pPr>
              <w:numPr>
                <w:ilvl w:val="0"/>
                <w:numId w:val="36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Довговічність: понад 1000 разів</w:t>
            </w:r>
            <w:r/>
          </w:p>
          <w:p>
            <w:pPr>
              <w:numPr>
                <w:ilvl w:val="0"/>
                <w:numId w:val="36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Внесені втрати: ≤0.3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дБ</w:t>
            </w:r>
            <w:r/>
          </w:p>
          <w:p>
            <w:pPr>
              <w:numPr>
                <w:ilvl w:val="0"/>
                <w:numId w:val="36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Замінність: ≤0.2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дБ</w:t>
            </w:r>
            <w:r/>
          </w:p>
          <w:p>
            <w:pPr>
              <w:numPr>
                <w:ilvl w:val="0"/>
                <w:numId w:val="36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Зворотні втрати: ≥50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дБ</w:t>
            </w:r>
            <w:r/>
          </w:p>
          <w:p>
            <w:pPr>
              <w:numPr>
                <w:ilvl w:val="0"/>
                <w:numId w:val="36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Вібрація: ≤0.2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дБ</w:t>
            </w:r>
            <w:r/>
          </w:p>
          <w:p>
            <w:pPr>
              <w:numPr>
                <w:ilvl w:val="0"/>
                <w:numId w:val="36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Температура експлуатації: -40 °C ~ +75 °C</w:t>
            </w:r>
            <w:r/>
          </w:p>
          <w:p>
            <w:pPr>
              <w:numPr>
                <w:ilvl w:val="0"/>
                <w:numId w:val="36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Температура зберігання: -45 °C ~ +85 °C</w:t>
            </w:r>
            <w:r/>
          </w:p>
        </w:tc>
      </w:tr>
    </w:tbl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tabs>
          <w:tab w:val="left" w:pos="540" w:leader="none"/>
          <w:tab w:val="left" w:pos="684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95 003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дев’яносто п’ять тисяч три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8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9"/>
  </w:num>
  <w:num w:numId="2">
    <w:abstractNumId w:val="17"/>
  </w:num>
  <w:num w:numId="3">
    <w:abstractNumId w:val="7"/>
  </w:num>
  <w:num w:numId="4">
    <w:abstractNumId w:val="24"/>
  </w:num>
  <w:num w:numId="5">
    <w:abstractNumId w:val="6"/>
  </w:num>
  <w:num w:numId="6">
    <w:abstractNumId w:val="30"/>
  </w:num>
  <w:num w:numId="7">
    <w:abstractNumId w:val="10"/>
  </w:num>
  <w:num w:numId="8">
    <w:abstractNumId w:val="32"/>
  </w:num>
  <w:num w:numId="9">
    <w:abstractNumId w:val="1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8"/>
  </w:num>
  <w:num w:numId="13">
    <w:abstractNumId w:val="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31"/>
  </w:num>
  <w:num w:numId="17">
    <w:abstractNumId w:val="0"/>
  </w:num>
  <w:num w:numId="18">
    <w:abstractNumId w:val="34"/>
  </w:num>
  <w:num w:numId="19">
    <w:abstractNumId w:val="25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26"/>
  </w:num>
  <w:num w:numId="25">
    <w:abstractNumId w:val="19"/>
  </w:num>
  <w:num w:numId="26">
    <w:abstractNumId w:val="22"/>
  </w:num>
  <w:num w:numId="27">
    <w:abstractNumId w:val="27"/>
  </w:num>
  <w:num w:numId="28">
    <w:abstractNumId w:val="20"/>
  </w:num>
  <w:num w:numId="29">
    <w:abstractNumId w:val="28"/>
  </w:num>
  <w:num w:numId="30">
    <w:abstractNumId w:val="16"/>
  </w:num>
  <w:num w:numId="31">
    <w:abstractNumId w:val="2"/>
  </w:num>
  <w:num w:numId="32">
    <w:abstractNumId w:val="18"/>
  </w:num>
  <w:num w:numId="33">
    <w:abstractNumId w:val="15"/>
  </w:num>
  <w:num w:numId="34">
    <w:abstractNumId w:val="13"/>
  </w:num>
  <w:num w:numId="35">
    <w:abstractNumId w:val="33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15"/>
    <w:next w:val="715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19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19"/>
    <w:link w:val="716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719"/>
    <w:link w:val="717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719"/>
    <w:link w:val="7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15"/>
    <w:next w:val="715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1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15"/>
    <w:next w:val="715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1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15"/>
    <w:next w:val="715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1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15"/>
    <w:next w:val="715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1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15"/>
    <w:next w:val="715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1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15"/>
    <w:next w:val="715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19"/>
    <w:link w:val="33"/>
    <w:uiPriority w:val="10"/>
    <w:rPr>
      <w:sz w:val="48"/>
      <w:szCs w:val="48"/>
    </w:rPr>
  </w:style>
  <w:style w:type="paragraph" w:styleId="35">
    <w:name w:val="Subtitle"/>
    <w:basedOn w:val="715"/>
    <w:next w:val="715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19"/>
    <w:link w:val="35"/>
    <w:uiPriority w:val="11"/>
    <w:rPr>
      <w:sz w:val="24"/>
      <w:szCs w:val="24"/>
    </w:rPr>
  </w:style>
  <w:style w:type="paragraph" w:styleId="37">
    <w:name w:val="Quote"/>
    <w:basedOn w:val="715"/>
    <w:next w:val="715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15"/>
    <w:next w:val="715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15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19"/>
    <w:link w:val="41"/>
    <w:uiPriority w:val="99"/>
  </w:style>
  <w:style w:type="character" w:styleId="44">
    <w:name w:val="Footer Char"/>
    <w:basedOn w:val="719"/>
    <w:link w:val="728"/>
    <w:uiPriority w:val="99"/>
  </w:style>
  <w:style w:type="paragraph" w:styleId="45">
    <w:name w:val="Caption"/>
    <w:basedOn w:val="715"/>
    <w:next w:val="7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28"/>
    <w:uiPriority w:val="99"/>
  </w:style>
  <w:style w:type="table" w:styleId="48">
    <w:name w:val="Table Grid Light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15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19"/>
    <w:uiPriority w:val="99"/>
    <w:unhideWhenUsed/>
    <w:rPr>
      <w:vertAlign w:val="superscript"/>
    </w:rPr>
  </w:style>
  <w:style w:type="paragraph" w:styleId="177">
    <w:name w:val="endnote text"/>
    <w:basedOn w:val="715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19"/>
    <w:uiPriority w:val="99"/>
    <w:semiHidden/>
    <w:unhideWhenUsed/>
    <w:rPr>
      <w:vertAlign w:val="superscript"/>
    </w:rPr>
  </w:style>
  <w:style w:type="paragraph" w:styleId="180">
    <w:name w:val="toc 1"/>
    <w:basedOn w:val="715"/>
    <w:next w:val="715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15"/>
    <w:next w:val="715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15"/>
    <w:next w:val="715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15"/>
    <w:next w:val="715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15"/>
    <w:next w:val="715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15"/>
    <w:next w:val="715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15"/>
    <w:next w:val="715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15"/>
    <w:next w:val="715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15"/>
    <w:next w:val="715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15"/>
    <w:next w:val="715"/>
    <w:uiPriority w:val="99"/>
    <w:unhideWhenUsed/>
    <w:pPr>
      <w:spacing w:after="0" w:afterAutospacing="0"/>
    </w:pPr>
  </w:style>
  <w:style w:type="paragraph" w:styleId="715" w:default="1">
    <w:name w:val="Normal"/>
    <w:qFormat/>
    <w:rPr>
      <w:lang w:val="uk-UA"/>
    </w:rPr>
  </w:style>
  <w:style w:type="paragraph" w:styleId="716">
    <w:name w:val="Heading 2"/>
    <w:basedOn w:val="715"/>
    <w:link w:val="737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paragraph" w:styleId="717">
    <w:name w:val="Heading 3"/>
    <w:basedOn w:val="715"/>
    <w:next w:val="715"/>
    <w:link w:val="754"/>
    <w:uiPriority w:val="9"/>
    <w:semiHidden/>
    <w:unhideWhenUsed/>
    <w:qFormat/>
    <w:pPr>
      <w:keepLines/>
      <w:keepNext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718">
    <w:name w:val="Heading 4"/>
    <w:basedOn w:val="715"/>
    <w:next w:val="715"/>
    <w:link w:val="755"/>
    <w:uiPriority w:val="9"/>
    <w:semiHidden/>
    <w:unhideWhenUsed/>
    <w:qFormat/>
    <w:pPr>
      <w:keepLines/>
      <w:keepNext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paragraph" w:styleId="722">
    <w:name w:val="List Paragraph"/>
    <w:basedOn w:val="715"/>
    <w:link w:val="72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23" w:customStyle="1">
    <w:name w:val="Абзац списку Знак"/>
    <w:link w:val="722"/>
    <w:uiPriority w:val="34"/>
    <w:qFormat/>
    <w:rPr>
      <w:rFonts w:ascii="Calibri" w:hAnsi="Calibri" w:eastAsia="Calibri" w:cs="Calibri"/>
      <w:lang w:eastAsia="zh-CN"/>
    </w:rPr>
  </w:style>
  <w:style w:type="table" w:styleId="724">
    <w:name w:val="Table Grid"/>
    <w:basedOn w:val="72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5" w:customStyle="1">
    <w:name w:val="Сетка таблицы2"/>
    <w:basedOn w:val="720"/>
    <w:next w:val="724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6">
    <w:name w:val="Normal (Web)"/>
    <w:basedOn w:val="715"/>
    <w:link w:val="733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727" w:customStyle="1">
    <w:name w:val="Сетка таблицы1"/>
    <w:basedOn w:val="720"/>
    <w:next w:val="724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8">
    <w:name w:val="Footer"/>
    <w:basedOn w:val="715"/>
    <w:link w:val="729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29" w:customStyle="1">
    <w:name w:val="Нижній колонтитул Знак"/>
    <w:basedOn w:val="719"/>
    <w:link w:val="728"/>
    <w:uiPriority w:val="99"/>
    <w:rPr>
      <w:rFonts w:ascii="Calibri" w:hAnsi="Calibri" w:eastAsia="Calibri" w:cs="Calibri"/>
      <w:lang w:eastAsia="zh-CN"/>
    </w:rPr>
  </w:style>
  <w:style w:type="paragraph" w:styleId="730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31">
    <w:name w:val="Hyperlink"/>
    <w:basedOn w:val="719"/>
    <w:uiPriority w:val="99"/>
    <w:unhideWhenUsed/>
    <w:rPr>
      <w:color w:val="0563c1" w:themeColor="hyperlink"/>
      <w:u w:val="single"/>
    </w:rPr>
  </w:style>
  <w:style w:type="character" w:styleId="732" w:customStyle="1">
    <w:name w:val="xfm_93972720"/>
    <w:basedOn w:val="719"/>
  </w:style>
  <w:style w:type="character" w:styleId="733" w:customStyle="1">
    <w:name w:val="Звичайний (веб) Знак"/>
    <w:link w:val="726"/>
    <w:qFormat/>
    <w:rPr>
      <w:rFonts w:ascii="Times New Roman" w:hAnsi="Times New Roman" w:cs="Times New Roman"/>
      <w:sz w:val="24"/>
      <w:szCs w:val="24"/>
      <w:lang w:val="uk-UA"/>
    </w:rPr>
  </w:style>
  <w:style w:type="paragraph" w:styleId="734">
    <w:name w:val="Body Text 2"/>
    <w:basedOn w:val="715"/>
    <w:link w:val="735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35" w:customStyle="1">
    <w:name w:val="Основний текст 2 Знак"/>
    <w:basedOn w:val="719"/>
    <w:link w:val="734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36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37" w:customStyle="1">
    <w:name w:val="Заголовок 2 Знак"/>
    <w:basedOn w:val="719"/>
    <w:link w:val="716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38">
    <w:name w:val="No Spacing"/>
    <w:link w:val="739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39" w:customStyle="1">
    <w:name w:val="Без інтервалів Знак"/>
    <w:basedOn w:val="719"/>
    <w:link w:val="738"/>
    <w:uiPriority w:val="1"/>
    <w:rPr>
      <w:rFonts w:ascii="Calibri" w:hAnsi="Calibri" w:eastAsia="Calibri" w:cs="Times New Roman"/>
      <w:lang w:val="uk-UA"/>
    </w:rPr>
  </w:style>
  <w:style w:type="character" w:styleId="740" w:customStyle="1">
    <w:name w:val="Другое_"/>
    <w:basedOn w:val="719"/>
    <w:link w:val="741"/>
    <w:rPr>
      <w:rFonts w:ascii="Calibri" w:hAnsi="Calibri" w:eastAsia="Calibri" w:cs="Calibri"/>
      <w:sz w:val="20"/>
      <w:szCs w:val="20"/>
    </w:rPr>
  </w:style>
  <w:style w:type="paragraph" w:styleId="741" w:customStyle="1">
    <w:name w:val="Другое"/>
    <w:basedOn w:val="715"/>
    <w:link w:val="740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42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43" w:customStyle="1">
    <w:name w:val="Основной текст (2)_"/>
    <w:basedOn w:val="719"/>
    <w:link w:val="744"/>
    <w:rPr>
      <w:rFonts w:eastAsia="Times New Roman" w:cs="Times New Roman"/>
      <w:shd w:val="clear" w:color="auto" w:fill="ffffff"/>
    </w:rPr>
  </w:style>
  <w:style w:type="paragraph" w:styleId="744" w:customStyle="1">
    <w:name w:val="Основной текст (2)"/>
    <w:basedOn w:val="715"/>
    <w:link w:val="743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45" w:customStyle="1">
    <w:name w:val="Текст у виносці Знак"/>
    <w:basedOn w:val="719"/>
    <w:link w:val="74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46">
    <w:name w:val="Balloon Text"/>
    <w:basedOn w:val="715"/>
    <w:link w:val="745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47" w:customStyle="1">
    <w:name w:val="Текст у виносці Знак1"/>
    <w:basedOn w:val="719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48" w:customStyle="1">
    <w:name w:val="T23"/>
    <w:rPr>
      <w:rFonts w:hint="default" w:ascii="Times New Roman" w:hAnsi="Times New Roman" w:eastAsia="Times New Roman1" w:cs="Times New Roman"/>
    </w:rPr>
  </w:style>
  <w:style w:type="paragraph" w:styleId="749" w:customStyle="1">
    <w:name w:val="Абзац списку1"/>
    <w:basedOn w:val="715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50" w:customStyle="1">
    <w:name w:val="markedcontent"/>
    <w:basedOn w:val="719"/>
  </w:style>
  <w:style w:type="paragraph" w:styleId="751">
    <w:name w:val="annotation text"/>
    <w:basedOn w:val="715"/>
    <w:link w:val="752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52" w:customStyle="1">
    <w:name w:val="Текст примітки Знак"/>
    <w:basedOn w:val="719"/>
    <w:link w:val="751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53" w:customStyle="1">
    <w:name w:val="docdata"/>
    <w:basedOn w:val="719"/>
  </w:style>
  <w:style w:type="character" w:styleId="754" w:customStyle="1">
    <w:name w:val="Заголовок 3 Знак"/>
    <w:basedOn w:val="719"/>
    <w:link w:val="717"/>
    <w:uiPriority w:val="9"/>
    <w:semiHidden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val="uk-UA"/>
    </w:rPr>
  </w:style>
  <w:style w:type="character" w:styleId="755" w:customStyle="1">
    <w:name w:val="Заголовок 4 Знак"/>
    <w:basedOn w:val="719"/>
    <w:link w:val="718"/>
    <w:uiPriority w:val="9"/>
    <w:semiHidden/>
    <w:rPr>
      <w:rFonts w:asciiTheme="majorHAnsi" w:hAnsiTheme="majorHAnsi" w:eastAsiaTheme="majorEastAsia" w:cstheme="majorBidi"/>
      <w:i/>
      <w:iCs/>
      <w:color w:val="2e74b5" w:themeColor="accent1" w:themeShade="BF"/>
      <w:lang w:val="uk-UA"/>
    </w:rPr>
  </w:style>
  <w:style w:type="paragraph" w:styleId="756" w:customStyle="1">
    <w:name w:val="name-spec"/>
    <w:basedOn w:val="71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757" w:customStyle="1">
    <w:name w:val="cont-spec"/>
    <w:basedOn w:val="71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758">
    <w:name w:val="Strong"/>
    <w:basedOn w:val="719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www.bezpeka-shop.com/ua/catalog/dvernye_perekhody/f/tip_ustroystva-is-gibkiy-perekhod/" TargetMode="External"/><Relationship Id="rId12" Type="http://schemas.openxmlformats.org/officeDocument/2006/relationships/hyperlink" Target="https://www.bezpeka-shop.com/ua/catalog/dvernye_perekhody/f/tip_ustanovki-is-vnutrennyaya/" TargetMode="External"/><Relationship Id="rId13" Type="http://schemas.openxmlformats.org/officeDocument/2006/relationships/hyperlink" Target="https://www.bezpeka-shop.com/ua/catalog/dvernye_perekhody/f/tip_ustanovki-is-naruzhnaya/" TargetMode="External"/><Relationship Id="rId14" Type="http://schemas.openxmlformats.org/officeDocument/2006/relationships/hyperlink" Target="https://www.bezpeka-shop.com/ua/catalog/dvernye_perekhody/f/tsvet-is-chernyy/" TargetMode="External"/><Relationship Id="rId15" Type="http://schemas.openxmlformats.org/officeDocument/2006/relationships/hyperlink" Target="https://www.bezpeka-shop.com/ua/catalog/poe/f/tip_ustroystva-is-poe-kommutator/" TargetMode="External"/><Relationship Id="rId16" Type="http://schemas.openxmlformats.org/officeDocument/2006/relationships/hyperlink" Target="https://www.bezpeka-shop.com/ua/catalog/poe/f/tip_kommutatora-is-neupravlyaemyy/" TargetMode="External"/><Relationship Id="rId17" Type="http://schemas.openxmlformats.org/officeDocument/2006/relationships/hyperlink" Target="https://www.bezpeka-shop.com/ua/catalog/poe/f/form_faktor_kommutatora-is-nastolnyy/" TargetMode="External"/><Relationship Id="rId18" Type="http://schemas.openxmlformats.org/officeDocument/2006/relationships/hyperlink" Target="https://www.bezpeka-shop.com/ua/catalog/poe/f/kolichestvo_portov-is-10/" TargetMode="External"/><Relationship Id="rId19" Type="http://schemas.openxmlformats.org/officeDocument/2006/relationships/hyperlink" Target="https://www.bezpeka-shop.com/ua/catalog/poe/f/kolichestvo_portov_poe-is-8/" TargetMode="External"/><Relationship Id="rId20" Type="http://schemas.openxmlformats.org/officeDocument/2006/relationships/hyperlink" Target="https://www.bezpeka-shop.com/ua/catalog/poe/f/rasstoyanie_do_potrebitelya_poe_m-is-250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148</cp:revision>
  <dcterms:created xsi:type="dcterms:W3CDTF">2022-11-01T12:47:00Z</dcterms:created>
  <dcterms:modified xsi:type="dcterms:W3CDTF">2024-01-30T17:52:03Z</dcterms:modified>
</cp:coreProperties>
</file>