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683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Закупівля обладнання для інклюзивних груп за ДК 021:2015: 39290000-1 Фурнітура різна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UA-2023-0</w:t>
      </w:r>
      <w:r>
        <w:rPr>
          <w:rFonts w:ascii="Times New Roman" w:hAnsi="Times New Roman" w:cs="Times New Roman"/>
          <w:sz w:val="24"/>
          <w:szCs w:val="24"/>
        </w:rPr>
        <w:t xml:space="preserve">7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13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9066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b/>
          <w:bCs/>
          <w:sz w:val="24"/>
          <w:szCs w:val="24"/>
          <w:lang w:eastAsia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Закупівля обладнання для інклюзивних груп</w:t>
      </w:r>
      <w:r>
        <w:rPr>
          <w:rFonts w:ascii="Times New Roman" w:hAnsi="Times New Roman" w:cs="Times New Roman"/>
          <w:sz w:val="24"/>
          <w:szCs w:val="24"/>
        </w:rPr>
        <w:br/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ТЕХНІЧНІ ВИМОГИ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357"/>
        <w:jc w:val="center"/>
        <w:spacing w:after="0" w:line="240" w:lineRule="auto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</w:r>
      <w:r/>
    </w:p>
    <w:tbl>
      <w:tblPr>
        <w:tblStyle w:val="689"/>
        <w:tblW w:w="9634" w:type="dxa"/>
        <w:tblLook w:val="04A0" w:firstRow="1" w:lastRow="0" w:firstColumn="1" w:lastColumn="0" w:noHBand="0" w:noVBand="1"/>
      </w:tblPr>
      <w:tblGrid>
        <w:gridCol w:w="562"/>
        <w:gridCol w:w="5670"/>
        <w:gridCol w:w="1701"/>
        <w:gridCol w:w="1701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№ п/п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Назва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системи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Одиниця</w:t>
            </w:r>
            <w:r>
              <w:rPr>
                <w:b/>
                <w:bCs/>
                <w:lang w:val="ru-RU"/>
              </w:rPr>
              <w:t xml:space="preserve"> </w:t>
            </w:r>
            <w:r>
              <w:rPr>
                <w:b/>
                <w:bCs/>
                <w:lang w:val="ru-RU"/>
              </w:rPr>
              <w:t xml:space="preserve">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Кількість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Інформаційна</w:t>
            </w:r>
            <w:r>
              <w:rPr>
                <w:b/>
                <w:bCs/>
                <w:lang w:val="ru-RU"/>
              </w:rPr>
              <w:t xml:space="preserve"> тактильна табличка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Кола для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маркування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скляних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/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прозорих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поверхонь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з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друком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Кола для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маркування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скляних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/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прозорих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поверхонь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19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Наліпка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на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поручні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зі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шрифтом Брайля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4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Наліпка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на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поручені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зі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шрифтом Брайля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20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Інформаційна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табличка «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Виклик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допомоги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Мнемосхема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приміщення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першого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поверху з ложементом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Знак «Парковка для людей з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інвалідністю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»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2</w:t>
            </w:r>
            <w:r/>
          </w:p>
        </w:tc>
      </w:tr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2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670" w:type="dxa"/>
            <w:textDirection w:val="lrTb"/>
            <w:noWrap w:val="false"/>
          </w:tcPr>
          <w:p>
            <w:pPr>
              <w:pStyle w:val="691"/>
              <w:rPr>
                <w:b/>
                <w:bCs/>
                <w:shd w:val="clear" w:color="auto" w:fill="ffffff"/>
                <w:lang w:val="ru-RU"/>
              </w:rPr>
            </w:pPr>
            <w:r>
              <w:rPr>
                <w:b/>
                <w:bCs/>
                <w:shd w:val="clear" w:color="auto" w:fill="ffffff"/>
                <w:lang w:val="ru-RU"/>
              </w:rPr>
              <w:t xml:space="preserve">Інформаційна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наліпка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«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Двері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відчиняються</w:t>
            </w:r>
            <w:r>
              <w:rPr>
                <w:b/>
                <w:bCs/>
                <w:shd w:val="clear" w:color="auto" w:fill="ffffff"/>
                <w:lang w:val="ru-RU"/>
              </w:rPr>
              <w:t xml:space="preserve"> автоматично»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701" w:type="dxa"/>
            <w:vAlign w:val="center"/>
            <w:textDirection w:val="lrTb"/>
            <w:noWrap w:val="false"/>
          </w:tcPr>
          <w:p>
            <w:pPr>
              <w:pStyle w:val="691"/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 xml:space="preserve">1</w:t>
            </w:r>
            <w:r/>
          </w:p>
        </w:tc>
      </w:tr>
    </w:tbl>
    <w:p>
      <w:pPr>
        <w:pStyle w:val="691"/>
        <w:jc w:val="both"/>
        <w:spacing w:after="0" w:line="240" w:lineRule="auto"/>
        <w:rPr>
          <w:rFonts w:eastAsia="Times New Roman"/>
          <w:b/>
          <w:bCs/>
          <w:i/>
          <w:iCs/>
          <w:lang w:eastAsia="ru-RU"/>
        </w:rPr>
      </w:pPr>
      <w:r>
        <w:rPr>
          <w:rFonts w:eastAsia="Times New Roman"/>
          <w:b/>
          <w:bCs/>
          <w:i/>
          <w:iCs/>
          <w:lang w:eastAsia="ru-RU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У ціну мають бути включені прямі, загальновиробничі та адміністративні витрати з урахуванням витрат, у тому ч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ислі, але не виключно: транспортні витрати, доплати працівникам у зв’язку з втратою часу в дорозі, зв’язок, страхування, спецзасоби, а також економічно обґрунтований прибуток, який Постачальник планує отримати в результаті продажу, кошти на покриття ризикі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 та/або додаткових витрат, пов’язаних з інфляційними процесами, усі податки і збори, обов’язкові платежі, що сплачуються або мають бути сплачені Постачальником для поставки Товару, зокрема податок на додану вартість, інші витрати, необхідні для виконання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проєкту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Договору до моменту його повного завершення.</w:t>
      </w:r>
      <w:r/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Характеристики товару повинні відповідати вимогам або бути кращими тих, які наведені в таблиці.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 Пропо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зиція Учасника має містити чітке зазначення виробника, моделі та артикулу для можливості перевірки запропонованого товару технічним вимогам Замовника. У разі відсутності зазначених вимог, Замовник залишає право відхилити пропозицію запропонованого товару. 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1. Товар повинен бути новим, з повною комплектацією. З товаром поставляються технічний паспорт чи інструкція з експлуатації українською мовою</w:t>
      </w:r>
      <w:r>
        <w:rPr>
          <w:rFonts w:ascii="Times New Roman" w:hAnsi="Times New Roman" w:cs="Times New Roman"/>
          <w:sz w:val="24"/>
          <w:szCs w:val="24"/>
          <w:lang w:eastAsia="uk-UA"/>
        </w:rPr>
        <w:t xml:space="preserve">, гарантійні талони, набір драйверів тощо,  передбачених для товару. Упаковка, в якій постачається товар, повинна відповідати загальноприйнятим стандартам та технічним умовам, забезпечувати зберігання товару, та/або його неушкодженість при транспортуванні.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2. Технічні та якісні характеристики повинні відповідати вимогам та стандартам відповідних діючих нормативних документів.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val="ru-RU"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3. Доставка товару здійснюється за рахунок та силами Постачальника, у терміни попередньо узгоджені, і визначається в кожному випадку замовленням Замовника.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uk-UA"/>
        </w:rPr>
      </w:pPr>
      <w:r>
        <w:rPr>
          <w:rFonts w:ascii="Times New Roman" w:hAnsi="Times New Roman" w:cs="Times New Roman"/>
          <w:sz w:val="24"/>
          <w:szCs w:val="24"/>
          <w:lang w:eastAsia="uk-UA"/>
        </w:rPr>
        <w:t xml:space="preserve">4. Приймання товарів проводиться при наявності товаро супроводжуючих документів, видаткової накладної та копії документів, що підтверджують якість товарів.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 xml:space="preserve">У разі, якщо характеристики товару, що пропонується Учасником до постачання, відрізняються від характеристик, які вимагаються Замовником, такий учасник у складі тендерної пропозиції надає таблицю відповідності за нижченаведеною формою.</w:t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ind w:left="14" w:firstLine="538"/>
        <w:jc w:val="both"/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p>
      <w:pPr>
        <w:contextualSpacing/>
        <w:ind w:left="14" w:firstLine="538"/>
        <w:jc w:val="center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eastAsia="ar-SA"/>
        </w:rPr>
      </w:pPr>
      <w:r>
        <w:rPr>
          <w:rFonts w:ascii="Times New Roman" w:hAnsi="Times New Roman" w:cs="Times New Roman"/>
          <w:b/>
          <w:bCs/>
          <w:sz w:val="24"/>
          <w:szCs w:val="24"/>
          <w:lang w:eastAsia="ar-SA"/>
        </w:rPr>
        <w:t xml:space="preserve">Таблиця відповідності</w:t>
      </w:r>
      <w:r/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</w:r>
      <w:r/>
    </w:p>
    <w:tbl>
      <w:tblPr>
        <w:tblpPr w:horzAnchor="margin" w:tblpXSpec="left" w:vertAnchor="text" w:tblpY="-62" w:leftFromText="180" w:topFromText="0" w:rightFromText="180" w:bottomFromText="160"/>
        <w:tblW w:w="100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997"/>
        <w:gridCol w:w="2928"/>
        <w:gridCol w:w="3163"/>
        <w:gridCol w:w="2943"/>
      </w:tblGrid>
      <w:tr>
        <w:trPr/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2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№ з/п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000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Характеристика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396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визначені Замовником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3115" w:type="dxa"/>
            <w:vAlign w:val="center"/>
            <w:textDirection w:val="lrTb"/>
            <w:noWrap w:val="false"/>
          </w:tcPr>
          <w:p>
            <w:pPr>
              <w:contextualSpacing/>
              <w:ind w:left="14" w:firstLine="538"/>
              <w:jc w:val="center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eastAsia="ar-SA"/>
              </w:rPr>
              <w:t xml:space="preserve">Опис технічних вимог, які  пропонуються Учасником</w:t>
            </w:r>
            <w:r/>
          </w:p>
        </w:tc>
      </w:tr>
    </w:tbl>
    <w:p>
      <w:pPr>
        <w:ind w:firstLine="263"/>
        <w:jc w:val="both"/>
        <w:spacing w:after="0" w:line="240" w:lineRule="auto"/>
        <w:rPr>
          <w:rFonts w:ascii="Times New Roman" w:hAnsi="Times New Roman" w:eastAsia="Times New Roman" w:cs="Times New Roman"/>
          <w:bCs/>
          <w:iCs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Товар повинен відповідати вимогам: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Закону України від 14.08.2014р. № 1644-VІІ «Про санкції»,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Указу Президента України від 15.05.2017р. № 133/2017 «Про рішення Ради національної безпеки і оборони України від 28 квітня 2017 року «Про застосування персональних спеціальних економічних та інших обмежувальних заходів (санкцій)»,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Постанови КМУ від 16.12.2015р. № 1035 «Про обмеження поставок окремих товарів(робіт, послуг) з тимчасово окупованої території на іншу територію України та/або з іншої території України на тимчасово окуповану територію»,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- п/п. 4 п.2 частини першої Розпорядження Кабінету Міністрів України від 11.09.2014 р. №829-р «Про пропозиції щодо застосування персональних спеціальних економічних та інших обмежувальних заходів», згідно з якими заборонено здійснення державних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закупівель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 товарів, робіт і послуг у юридичних осіб - резидентів Російської Федерації державної форми власності та юридичних осіб, частка статутного капіталу яких перебуває у власності Російської Федерації, а та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кож у інших суб’єктів господарювання, що здійснюють продаж товарів, робіт і послуг походженням з Російської Федерації, крім випадків, коли заміщення таких предметів закупівлі іншими неможливе, що підтверджено Міністерством економічного розвитку і торгівлі.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Cs/>
          <w:sz w:val="24"/>
          <w:szCs w:val="24"/>
        </w:rPr>
      </w:pPr>
      <w:r>
        <w:rPr>
          <w:rFonts w:ascii="Times New Roman" w:hAnsi="Times New Roman" w:cs="Times New Roman"/>
          <w:bCs/>
          <w:iCs/>
          <w:sz w:val="24"/>
          <w:szCs w:val="24"/>
        </w:rPr>
        <w:t xml:space="preserve">У разі якщо товар не відповідає технічним вимогам Замовника або Учасник не в змозі виконати умови поставки, які визначені Замовником, Пропозиція відхиляється.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  <w:t xml:space="preserve">СПЕЦИФІКАЦІЯ:</w:t>
      </w:r>
      <w:r/>
    </w:p>
    <w:p>
      <w:pPr>
        <w:pStyle w:val="687"/>
        <w:ind w:left="0" w:firstLine="567"/>
        <w:jc w:val="center"/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uk-UA"/>
        </w:rPr>
      </w:r>
      <w:r/>
    </w:p>
    <w:tbl>
      <w:tblPr>
        <w:tblW w:w="9480" w:type="dxa"/>
        <w:tblInd w:w="13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824"/>
        <w:gridCol w:w="5978"/>
        <w:gridCol w:w="1442"/>
        <w:gridCol w:w="1236"/>
      </w:tblGrid>
      <w:tr>
        <w:trPr>
          <w:trHeight w:val="104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pPr>
            <w:r/>
            <w:bookmarkStart w:id="0" w:name="_Hlk140142031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Од. виміру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highlight w:val="yellow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Інформаційна тактильна табличка, адаптована для людей з глибоким порушенням зору, у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т.ч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незрячих (зі шрифтом Брайля),  Розмір: 500х250 мм. Матеріал: акрил. Чотири монтажні отвори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Кола для маркування скляних/ прозорих поверхонь з друком, Діаметр: 190 мм. Матеріал: самоклеюча плівка із полівінілхлориду (пріоритет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Оракал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). Колір: жовтий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Кола для маркування скляних/ прозорих поверхонь, Діаметр: 190 мм. Матеріал: самоклеюча плівка із полівінілхлориду (пріоритет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Оракал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). Колір: жовтий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19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Наліпка на поручні зі шрифтом Брайля, Розмір: 100х50 мм. Матеріал: самоклеюча плівка із полівінілхлориду (пріоритет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Оракал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). Колір: жовтий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4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5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Наліпка на поручені зі шрифтом Брайля,  Розмір: 100х35. Матеріал: самоклеюча плівка із полівінілхлориду (пріоритет –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Оракал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). Колір: жовтий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20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6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Інформаційна табличка «Виклик допомоги», адаптована, зі шрифтом Брайля,  Розмір: 200 х 150 мм. Матеріал: композит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7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Мнемосхема приміщення першого поверху з ложементом, Розмір: 650х550 мм. Матеріал: ПВХ, ложемент – акрил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8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Знак «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Парковка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для людей з інвалідністю» (не є дорожнім знаком), настінний,  Розмір: 400х500 мм. Матеріал: композит. 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Світлоповертаючий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оракал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2</w:t>
            </w:r>
            <w:r/>
          </w:p>
        </w:tc>
      </w:tr>
      <w:tr>
        <w:trPr>
          <w:trHeight w:val="339"/>
        </w:trPr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825" w:type="dxa"/>
            <w:vAlign w:val="center"/>
            <w:textDirection w:val="lrTb"/>
            <w:noWrap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9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5979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outlineLvl w:val="1"/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Інформаційна наліпка «Двері відчиняються автоматично»,  Розмір: 400 х 110мм. Колір: жовтий (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оракал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).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Плотерна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порізка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shd w:val="clear" w:color="auto" w:fill="ffffff"/>
              </w:rPr>
              <w:t xml:space="preserve">. Транспортувальна стрічка для нанесення на скляну поверхню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44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шт.</w:t>
            </w:r>
            <w:r/>
          </w:p>
        </w:tc>
        <w:tc>
          <w:tcPr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123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1</w:t>
            </w:r>
            <w:r/>
          </w:p>
        </w:tc>
      </w:tr>
    </w:tbl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</w:pPr>
      <w:r>
        <w:rPr>
          <w:rFonts w:ascii="Times New Roman" w:hAnsi="Times New Roman" w:eastAsia="Times New Roman" w:cs="Times New Roman"/>
          <w:b/>
          <w:bCs/>
          <w:sz w:val="24"/>
          <w:szCs w:val="24"/>
          <w:shd w:val="clear" w:color="auto" w:fill="ffffff"/>
          <w:lang w:val="ru-RU" w:eastAsia="ru-RU"/>
        </w:rPr>
      </w:r>
      <w:bookmarkEnd w:id="0"/>
      <w:r/>
    </w:p>
    <w:p>
      <w:pPr>
        <w:ind w:firstLine="567"/>
        <w:jc w:val="both"/>
        <w:spacing w:after="0" w:line="240" w:lineRule="auto"/>
        <w:tabs>
          <w:tab w:val="left" w:pos="-2268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У разі, якщо у цій тендерній документації (у тому числі у технічній специфікації) міститься посилання:</w:t>
      </w:r>
      <w:r/>
    </w:p>
    <w:p>
      <w:pPr>
        <w:ind w:firstLine="263"/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стандартні характеристики, технічні регламенти та умови, вимоги, умовні позначення та термінологію, пов’язані з товарами, роботами чи послугами, що закуповуються, передбачені існуючими міжнародними, європейським</w:t>
      </w:r>
      <w:r>
        <w:rPr>
          <w:rFonts w:ascii="Times New Roman" w:hAnsi="Times New Roman" w:cs="Times New Roman"/>
          <w:i/>
          <w:sz w:val="24"/>
          <w:szCs w:val="24"/>
        </w:rPr>
        <w:t xml:space="preserve">и стандартами, іншими спільними технічними європейськими нормами, іншими технічними еталонними системами, визнаними європейськими органами зі стандартизації або національними стандартами, нормами та правилами – вважати, що міститься вираз «або еквівалент»;</w:t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- на ко</w:t>
      </w:r>
      <w:r>
        <w:rPr>
          <w:rFonts w:ascii="Times New Roman" w:hAnsi="Times New Roman" w:cs="Times New Roman"/>
          <w:i/>
          <w:sz w:val="24"/>
          <w:szCs w:val="24"/>
        </w:rPr>
        <w:t xml:space="preserve">нкретні марку чи виробника або на конкретний процес, що характеризує продукт чи послугу певного суб’єкта господарювання, чи на торгові марки, патенти, типи або конкретне місце походження чи спосіб виробництва – вважати, що міститься вираз «або еквівалент».</w:t>
      </w:r>
      <w:r/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У випадку надання учасником еквіваленту він має надати порівняльну таблицю запропонованих товарів з товарами, які вимагаються Замовником. Якщо Учасник пропонує товар, технічні характеристики якого відрізняються від наведених вище, він повинен </w:t>
      </w:r>
      <w:r>
        <w:rPr>
          <w:rFonts w:ascii="Times New Roman" w:hAnsi="Times New Roman" w:cs="Times New Roman"/>
          <w:bCs/>
          <w:i/>
          <w:iCs/>
          <w:sz w:val="24"/>
          <w:szCs w:val="24"/>
        </w:rPr>
        <w:t xml:space="preserve">обов’язково надати порівняльну таблицю щодо відповідності технічних характеристик запропонованого товару наведеним Замовником характеристикам. Товар має бути з технічними та якісними характеристиками рівноцінними, або покращеними, ніж визначені Замовником.</w:t>
      </w:r>
      <w:r/>
    </w:p>
    <w:p>
      <w:pPr>
        <w:contextualSpacing/>
        <w:jc w:val="both"/>
        <w:spacing w:after="0" w:line="240" w:lineRule="auto"/>
        <w:shd w:val="clear" w:color="auto" w:fill="ffff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27 033,00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двадцять сім тисяч тридцять три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грив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ні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00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ms Rmn">
    <w:panose1 w:val="020F050202020403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93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8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3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13"/>
  </w:num>
  <w:num w:numId="2">
    <w:abstractNumId w:val="10"/>
  </w:num>
  <w:num w:numId="3">
    <w:abstractNumId w:val="5"/>
  </w:num>
  <w:num w:numId="4">
    <w:abstractNumId w:val="11"/>
  </w:num>
  <w:num w:numId="5">
    <w:abstractNumId w:val="4"/>
  </w:num>
  <w:num w:numId="6">
    <w:abstractNumId w:val="14"/>
  </w:num>
  <w:num w:numId="7">
    <w:abstractNumId w:val="7"/>
  </w:num>
  <w:num w:numId="8">
    <w:abstractNumId w:val="16"/>
  </w:num>
  <w:num w:numId="9">
    <w:abstractNumId w:val="1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</w:num>
  <w:num w:numId="12">
    <w:abstractNumId w:val="6"/>
  </w:num>
  <w:num w:numId="13">
    <w:abstractNumId w:val="2"/>
  </w:num>
  <w:num w:numId="1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"/>
  </w:num>
  <w:num w:numId="16">
    <w:abstractNumId w:val="15"/>
  </w:num>
  <w:num w:numId="17">
    <w:abstractNumId w:val="0"/>
  </w:num>
  <w:num w:numId="18">
    <w:abstractNumId w:val="17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2"/>
    <w:next w:val="682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84"/>
    <w:link w:val="13"/>
    <w:uiPriority w:val="9"/>
    <w:rPr>
      <w:rFonts w:ascii="Arial" w:hAnsi="Arial" w:eastAsia="Arial" w:cs="Arial"/>
      <w:sz w:val="40"/>
      <w:szCs w:val="40"/>
    </w:rPr>
  </w:style>
  <w:style w:type="character" w:styleId="16">
    <w:name w:val="Heading 2 Char"/>
    <w:basedOn w:val="684"/>
    <w:link w:val="683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2"/>
    <w:next w:val="682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84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2"/>
    <w:next w:val="682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84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2"/>
    <w:next w:val="682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84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2"/>
    <w:next w:val="682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84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2"/>
    <w:next w:val="682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84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2"/>
    <w:next w:val="682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84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2"/>
    <w:next w:val="682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84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82"/>
    <w:next w:val="682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84"/>
    <w:link w:val="34"/>
    <w:uiPriority w:val="10"/>
    <w:rPr>
      <w:sz w:val="48"/>
      <w:szCs w:val="48"/>
    </w:rPr>
  </w:style>
  <w:style w:type="paragraph" w:styleId="36">
    <w:name w:val="Subtitle"/>
    <w:basedOn w:val="682"/>
    <w:next w:val="682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84"/>
    <w:link w:val="36"/>
    <w:uiPriority w:val="11"/>
    <w:rPr>
      <w:sz w:val="24"/>
      <w:szCs w:val="24"/>
    </w:rPr>
  </w:style>
  <w:style w:type="paragraph" w:styleId="38">
    <w:name w:val="Quote"/>
    <w:basedOn w:val="682"/>
    <w:next w:val="682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2"/>
    <w:next w:val="682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2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84"/>
    <w:link w:val="42"/>
    <w:uiPriority w:val="99"/>
  </w:style>
  <w:style w:type="character" w:styleId="45">
    <w:name w:val="Footer Char"/>
    <w:basedOn w:val="684"/>
    <w:link w:val="693"/>
    <w:uiPriority w:val="99"/>
  </w:style>
  <w:style w:type="paragraph" w:styleId="46">
    <w:name w:val="Caption"/>
    <w:basedOn w:val="682"/>
    <w:next w:val="68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693"/>
    <w:uiPriority w:val="99"/>
  </w:style>
  <w:style w:type="table" w:styleId="49">
    <w:name w:val="Table Grid Light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8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8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8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8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2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84"/>
    <w:uiPriority w:val="99"/>
    <w:unhideWhenUsed/>
    <w:rPr>
      <w:vertAlign w:val="superscript"/>
    </w:rPr>
  </w:style>
  <w:style w:type="paragraph" w:styleId="178">
    <w:name w:val="endnote text"/>
    <w:basedOn w:val="682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84"/>
    <w:uiPriority w:val="99"/>
    <w:semiHidden/>
    <w:unhideWhenUsed/>
    <w:rPr>
      <w:vertAlign w:val="superscript"/>
    </w:rPr>
  </w:style>
  <w:style w:type="paragraph" w:styleId="181">
    <w:name w:val="toc 1"/>
    <w:basedOn w:val="682"/>
    <w:next w:val="682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2"/>
    <w:next w:val="682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2"/>
    <w:next w:val="682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2"/>
    <w:next w:val="682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2"/>
    <w:next w:val="682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2"/>
    <w:next w:val="682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2"/>
    <w:next w:val="682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2"/>
    <w:next w:val="682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2"/>
    <w:next w:val="682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2"/>
    <w:next w:val="682"/>
    <w:uiPriority w:val="99"/>
    <w:unhideWhenUsed/>
    <w:pPr>
      <w:spacing w:after="0" w:afterAutospacing="0"/>
    </w:pPr>
  </w:style>
  <w:style w:type="paragraph" w:styleId="682" w:default="1">
    <w:name w:val="Normal"/>
    <w:qFormat/>
    <w:rPr>
      <w:lang w:val="uk-UA"/>
    </w:rPr>
  </w:style>
  <w:style w:type="paragraph" w:styleId="683">
    <w:name w:val="Heading 2"/>
    <w:basedOn w:val="682"/>
    <w:link w:val="702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684" w:default="1">
    <w:name w:val="Default Paragraph Font"/>
    <w:uiPriority w:val="1"/>
    <w:semiHidden/>
    <w:unhideWhenUsed/>
  </w:style>
  <w:style w:type="table" w:styleId="68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6" w:default="1">
    <w:name w:val="No List"/>
    <w:uiPriority w:val="99"/>
    <w:semiHidden/>
    <w:unhideWhenUsed/>
  </w:style>
  <w:style w:type="paragraph" w:styleId="687">
    <w:name w:val="List Paragraph"/>
    <w:basedOn w:val="682"/>
    <w:link w:val="688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688" w:customStyle="1">
    <w:name w:val="Абзац списку Знак"/>
    <w:link w:val="687"/>
    <w:uiPriority w:val="34"/>
    <w:rPr>
      <w:rFonts w:ascii="Calibri" w:hAnsi="Calibri" w:eastAsia="Calibri" w:cs="Calibri"/>
      <w:lang w:eastAsia="zh-CN"/>
    </w:rPr>
  </w:style>
  <w:style w:type="table" w:styleId="689">
    <w:name w:val="Table Grid"/>
    <w:basedOn w:val="685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90" w:customStyle="1">
    <w:name w:val="Сетка таблицы2"/>
    <w:basedOn w:val="685"/>
    <w:next w:val="689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1">
    <w:name w:val="Normal (Web)"/>
    <w:basedOn w:val="682"/>
    <w:link w:val="698"/>
    <w:unhideWhenUsed/>
    <w:qFormat/>
    <w:rPr>
      <w:rFonts w:ascii="Times New Roman" w:hAnsi="Times New Roman" w:cs="Times New Roman"/>
      <w:sz w:val="24"/>
      <w:szCs w:val="24"/>
    </w:rPr>
  </w:style>
  <w:style w:type="table" w:styleId="692" w:customStyle="1">
    <w:name w:val="Сетка таблицы1"/>
    <w:basedOn w:val="685"/>
    <w:next w:val="689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693">
    <w:name w:val="Footer"/>
    <w:basedOn w:val="682"/>
    <w:link w:val="694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694" w:customStyle="1">
    <w:name w:val="Нижній колонтитул Знак"/>
    <w:basedOn w:val="684"/>
    <w:link w:val="693"/>
    <w:uiPriority w:val="99"/>
    <w:rPr>
      <w:rFonts w:ascii="Calibri" w:hAnsi="Calibri" w:eastAsia="Calibri" w:cs="Calibri"/>
      <w:lang w:eastAsia="zh-CN"/>
    </w:rPr>
  </w:style>
  <w:style w:type="paragraph" w:styleId="695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696">
    <w:name w:val="Hyperlink"/>
    <w:basedOn w:val="684"/>
    <w:uiPriority w:val="99"/>
    <w:unhideWhenUsed/>
    <w:rPr>
      <w:color w:val="0563c1" w:themeColor="hyperlink"/>
      <w:u w:val="single"/>
    </w:rPr>
  </w:style>
  <w:style w:type="character" w:styleId="697" w:customStyle="1">
    <w:name w:val="xfm_93972720"/>
    <w:basedOn w:val="684"/>
  </w:style>
  <w:style w:type="character" w:styleId="698" w:customStyle="1">
    <w:name w:val="Звичайний (веб) Знак"/>
    <w:link w:val="691"/>
    <w:qFormat/>
    <w:rPr>
      <w:rFonts w:ascii="Times New Roman" w:hAnsi="Times New Roman" w:cs="Times New Roman"/>
      <w:sz w:val="24"/>
      <w:szCs w:val="24"/>
      <w:lang w:val="uk-UA"/>
    </w:rPr>
  </w:style>
  <w:style w:type="paragraph" w:styleId="699">
    <w:name w:val="Body Text 2"/>
    <w:basedOn w:val="682"/>
    <w:link w:val="70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00" w:customStyle="1">
    <w:name w:val="Основний текст 2 Знак"/>
    <w:basedOn w:val="684"/>
    <w:link w:val="699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01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02" w:customStyle="1">
    <w:name w:val="Заголовок 2 Знак"/>
    <w:basedOn w:val="684"/>
    <w:link w:val="683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03">
    <w:name w:val="No Spacing"/>
    <w:link w:val="704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04" w:customStyle="1">
    <w:name w:val="Без інтервалів Знак"/>
    <w:basedOn w:val="684"/>
    <w:link w:val="703"/>
    <w:uiPriority w:val="1"/>
    <w:rPr>
      <w:rFonts w:ascii="Calibri" w:hAnsi="Calibri" w:eastAsia="Calibri" w:cs="Times New Roman"/>
      <w:lang w:val="uk-UA"/>
    </w:rPr>
  </w:style>
  <w:style w:type="character" w:styleId="705" w:customStyle="1">
    <w:name w:val="Другое_"/>
    <w:basedOn w:val="684"/>
    <w:link w:val="706"/>
    <w:rPr>
      <w:rFonts w:ascii="Calibri" w:hAnsi="Calibri" w:eastAsia="Calibri" w:cs="Calibri"/>
      <w:sz w:val="20"/>
      <w:szCs w:val="20"/>
    </w:rPr>
  </w:style>
  <w:style w:type="paragraph" w:styleId="706" w:customStyle="1">
    <w:name w:val="Другое"/>
    <w:basedOn w:val="682"/>
    <w:link w:val="705"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07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08" w:customStyle="1">
    <w:name w:val="Основной текст (2)_"/>
    <w:basedOn w:val="684"/>
    <w:link w:val="709"/>
    <w:rPr>
      <w:rFonts w:eastAsia="Times New Roman" w:cs="Times New Roman"/>
      <w:shd w:val="clear" w:color="auto" w:fill="ffffff"/>
    </w:rPr>
  </w:style>
  <w:style w:type="paragraph" w:styleId="709" w:customStyle="1">
    <w:name w:val="Основной текст (2)"/>
    <w:basedOn w:val="682"/>
    <w:link w:val="708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ONLYOFFICE/7.3.3.49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121</cp:revision>
  <dcterms:created xsi:type="dcterms:W3CDTF">2022-11-01T12:47:00Z</dcterms:created>
  <dcterms:modified xsi:type="dcterms:W3CDTF">2023-07-17T19:45:34Z</dcterms:modified>
</cp:coreProperties>
</file>