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3"/>
        <w:jc w:val="both"/>
        <w:spacing w:before="0" w:beforeAutospacing="0" w:after="0" w:afterAutospacing="0"/>
        <w:shd w:val="clear" w:color="auto" w:fill="ffffff" w:themeFill="background1"/>
        <w:rPr>
          <w:color w:val="585858"/>
          <w:sz w:val="28"/>
          <w:szCs w:val="28"/>
          <w:u w:val="single"/>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комплектів джерел безперебійного живлення за кодом CPV за ЄЗС ДК 021:2015: 31150000-2 Баласти для розрядних ламп чи трубок</w:t>
      </w:r>
      <w:r>
        <w:rPr>
          <w:b w:val="0"/>
          <w:bCs w:val="0"/>
          <w:sz w:val="24"/>
          <w:szCs w:val="24"/>
        </w:rPr>
        <w:t xml:space="preserve">.</w:t>
      </w:r>
      <w:r/>
    </w:p>
    <w:p>
      <w:pPr>
        <w:pStyle w:val="695"/>
        <w:ind w:left="0"/>
        <w:rPr>
          <w:rFonts w:ascii="Times New Roman" w:hAnsi="Times New Roman"/>
          <w:bCs/>
          <w:color w:val="000000" w:themeColor="text1"/>
          <w:sz w:val="24"/>
          <w:szCs w:val="24"/>
          <w:shd w:val="clear" w:color="auto" w:fill="ffffff"/>
        </w:rPr>
      </w:pP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30</w:t>
      </w:r>
      <w:r>
        <w:rPr>
          <w:rFonts w:ascii="Times New Roman" w:hAnsi="Times New Roman" w:cs="Times New Roman"/>
          <w:sz w:val="24"/>
          <w:szCs w:val="24"/>
        </w:rPr>
        <w:t xml:space="preserve">-</w:t>
      </w:r>
      <w:r>
        <w:rPr>
          <w:rFonts w:ascii="Times New Roman" w:hAnsi="Times New Roman" w:cs="Times New Roman"/>
          <w:sz w:val="24"/>
          <w:szCs w:val="24"/>
        </w:rPr>
        <w:t xml:space="preserve">008531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rPr>
          <w:rFonts w:ascii="Times New Roman" w:hAnsi="Times New Roman" w:cs="Times New Roman"/>
          <w:b/>
          <w:color w:val="000000"/>
          <w:sz w:val="24"/>
          <w:szCs w:val="24"/>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sz w:val="24"/>
          <w:lang w:eastAsia="ru-RU"/>
        </w:rPr>
        <w:t xml:space="preserve">:  </w:t>
      </w:r>
      <w:bookmarkStart w:id="0" w:name="_Hlk133583335"/>
      <w:r>
        <w:rPr>
          <w:rFonts w:ascii="Times New Roman" w:hAnsi="Times New Roman" w:cs="Times New Roman"/>
          <w:sz w:val="24"/>
          <w:szCs w:val="24"/>
        </w:rPr>
        <w:t xml:space="preserve">Закупівля комплектів джерел безперебійного живлення</w:t>
      </w:r>
      <w:bookmarkEnd w:id="0"/>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89"/>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91"/>
              <w:jc w:val="center"/>
              <w:rPr>
                <w:b/>
                <w:bCs/>
              </w:rPr>
            </w:pPr>
            <w:r>
              <w:rPr>
                <w:b/>
                <w:bCs/>
              </w:rPr>
              <w:t xml:space="preserve">№ п/п</w:t>
            </w:r>
            <w:r/>
          </w:p>
        </w:tc>
        <w:tc>
          <w:tcPr>
            <w:tcW w:w="5670" w:type="dxa"/>
            <w:textDirection w:val="lrTb"/>
            <w:noWrap w:val="false"/>
          </w:tcPr>
          <w:p>
            <w:pPr>
              <w:pStyle w:val="691"/>
              <w:jc w:val="center"/>
              <w:rPr>
                <w:b/>
                <w:bCs/>
              </w:rPr>
            </w:pPr>
            <w:r>
              <w:rPr>
                <w:b/>
                <w:bCs/>
              </w:rPr>
              <w:t xml:space="preserve">Назва системи</w:t>
            </w:r>
            <w:r/>
          </w:p>
        </w:tc>
        <w:tc>
          <w:tcPr>
            <w:tcW w:w="1701" w:type="dxa"/>
            <w:textDirection w:val="lrTb"/>
            <w:noWrap w:val="false"/>
          </w:tcPr>
          <w:p>
            <w:pPr>
              <w:pStyle w:val="691"/>
              <w:jc w:val="center"/>
              <w:rPr>
                <w:b/>
                <w:bCs/>
              </w:rPr>
            </w:pPr>
            <w:r>
              <w:rPr>
                <w:b/>
                <w:bCs/>
              </w:rPr>
              <w:t xml:space="preserve">Одиниця виміру</w:t>
            </w:r>
            <w:r/>
          </w:p>
        </w:tc>
        <w:tc>
          <w:tcPr>
            <w:tcW w:w="1701" w:type="dxa"/>
            <w:textDirection w:val="lrTb"/>
            <w:noWrap w:val="false"/>
          </w:tcPr>
          <w:p>
            <w:pPr>
              <w:pStyle w:val="691"/>
              <w:jc w:val="center"/>
              <w:rPr>
                <w:b/>
                <w:bCs/>
              </w:rPr>
            </w:pPr>
            <w:r>
              <w:rPr>
                <w:b/>
                <w:bCs/>
              </w:rPr>
              <w:t xml:space="preserve">Кількість</w:t>
            </w:r>
            <w:r/>
          </w:p>
        </w:tc>
      </w:tr>
      <w:tr>
        <w:trPr/>
        <w:tc>
          <w:tcPr>
            <w:tcW w:w="562" w:type="dxa"/>
            <w:vAlign w:val="center"/>
            <w:textDirection w:val="lrTb"/>
            <w:noWrap w:val="false"/>
          </w:tcPr>
          <w:p>
            <w:pPr>
              <w:pStyle w:val="691"/>
              <w:jc w:val="center"/>
            </w:pPr>
            <w:r>
              <w:rPr>
                <w:b/>
                <w:bCs/>
              </w:rPr>
              <w:t xml:space="preserve">1</w:t>
            </w:r>
            <w:r/>
          </w:p>
        </w:tc>
        <w:tc>
          <w:tcPr>
            <w:tcW w:w="5670" w:type="dxa"/>
            <w:textDirection w:val="lrTb"/>
            <w:noWrap w:val="false"/>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Комплект джерела безперебійного живлення</w:t>
            </w:r>
            <w:r/>
          </w:p>
        </w:tc>
        <w:tc>
          <w:tcPr>
            <w:tcW w:w="1701" w:type="dxa"/>
            <w:vAlign w:val="center"/>
            <w:textDirection w:val="lrTb"/>
            <w:noWrap w:val="false"/>
          </w:tcPr>
          <w:p>
            <w:pPr>
              <w:pStyle w:val="691"/>
              <w:jc w:val="center"/>
              <w:rPr>
                <w:b/>
                <w:bCs/>
              </w:rPr>
            </w:pPr>
            <w:r>
              <w:rPr>
                <w:b/>
                <w:bCs/>
              </w:rPr>
              <w:t xml:space="preserve">5</w:t>
            </w:r>
            <w:r/>
          </w:p>
        </w:tc>
        <w:tc>
          <w:tcPr>
            <w:tcW w:w="1701" w:type="dxa"/>
            <w:vAlign w:val="center"/>
            <w:textDirection w:val="lrTb"/>
            <w:noWrap w:val="false"/>
          </w:tcPr>
          <w:p>
            <w:pPr>
              <w:pStyle w:val="691"/>
              <w:jc w:val="center"/>
            </w:pPr>
            <w:r>
              <w:rPr>
                <w:b/>
              </w:rPr>
              <w:t xml:space="preserve">шт</w:t>
            </w:r>
            <w:r/>
          </w:p>
        </w:tc>
      </w:tr>
    </w:tbl>
    <w:p>
      <w:pPr>
        <w:pStyle w:val="691"/>
        <w:jc w:val="both"/>
        <w:spacing w:after="0" w:line="240" w:lineRule="auto"/>
        <w:rPr>
          <w:b/>
          <w:bCs/>
          <w:i/>
          <w:iCs/>
          <w:lang w:eastAsia="ru-RU"/>
        </w:rPr>
      </w:pPr>
      <w:r>
        <w:rPr>
          <w:b/>
          <w:bCs/>
          <w:i/>
          <w:iCs/>
          <w:lang w:eastAsia="ru-RU"/>
        </w:rPr>
      </w:r>
      <w:r/>
    </w:p>
    <w:p>
      <w:pPr>
        <w:pStyle w:val="691"/>
        <w:jc w:val="both"/>
        <w:spacing w:after="0" w:line="240" w:lineRule="auto"/>
        <w:rPr>
          <w:b/>
          <w:bCs/>
          <w:i/>
          <w:iCs/>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w:t>
      </w:r>
      <w:r>
        <w:rPr>
          <w:b/>
          <w:bCs/>
          <w:i/>
          <w:iCs/>
          <w:lang w:eastAsia="ru-RU"/>
        </w:rPr>
        <w:t xml:space="preserve">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w:t>
      </w:r>
      <w:r>
        <w:rPr>
          <w:b/>
          <w:bCs/>
          <w:i/>
          <w:iCs/>
          <w:lang w:eastAsia="ru-RU"/>
        </w:rPr>
        <w:t xml:space="preserve">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Pr>
          <w:b/>
          <w:bCs/>
          <w:i/>
          <w:iCs/>
        </w:rPr>
        <w:t xml:space="preserve">.</w:t>
      </w:r>
      <w:r/>
    </w:p>
    <w:p>
      <w:pPr>
        <w:pStyle w:val="691"/>
        <w:jc w:val="both"/>
        <w:spacing w:after="0" w:line="240" w:lineRule="auto"/>
        <w:rPr>
          <w:b/>
          <w:bCs/>
          <w:i/>
          <w:iCs/>
          <w:lang w:eastAsia="ru-RU"/>
        </w:rPr>
      </w:pPr>
      <w:r>
        <w:rPr>
          <w:b/>
          <w:bCs/>
          <w:i/>
          <w:iCs/>
          <w:lang w:eastAsia="ru-RU"/>
        </w:rPr>
      </w:r>
      <w:r/>
    </w:p>
    <w:p>
      <w:pPr>
        <w:pStyle w:val="691"/>
        <w:ind w:firstLine="567"/>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постачання повинно здійснюватися у відповідно до діючих нормативно-правових документів та умов цього проєкту Договору.</w:t>
      </w:r>
      <w:bookmarkStart w:id="2" w:name="_Hlk131682113"/>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Pr>
          <w:rFonts w:ascii="Times New Roman" w:hAnsi="Times New Roman" w:cs="Times New Roman"/>
          <w:sz w:val="24"/>
          <w:szCs w:val="24"/>
        </w:rPr>
        <w:t xml:space="preserve"> </w:t>
      </w:r>
      <w:r/>
    </w:p>
    <w:p>
      <w:pPr>
        <w:pStyle w:val="687"/>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pStyle w:val="687"/>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87"/>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2"/>
        <w:gridCol w:w="3005"/>
        <w:gridCol w:w="6634"/>
      </w:tblGrid>
      <w:tr>
        <w:trPr/>
        <w:tc>
          <w:tcPr>
            <w:gridSpan w:val="3"/>
            <w:shd w:val="clear" w:color="auto" w:fill="auto"/>
            <w:tcW w:w="10491"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Комплект джерела безперебійного живлення</w:t>
            </w:r>
            <w:r>
              <w:rPr>
                <w:rFonts w:ascii="Times New Roman" w:hAnsi="Times New Roman" w:cs="Times New Roman"/>
                <w:sz w:val="24"/>
                <w:szCs w:val="24"/>
              </w:rPr>
              <w:t xml:space="preserve">, у складі:</w:t>
            </w:r>
            <w:r/>
          </w:p>
        </w:tc>
      </w:tr>
      <w:tr>
        <w:trPr/>
        <w:tc>
          <w:tcPr>
            <w:gridSpan w:val="3"/>
            <w:shd w:val="clear" w:color="auto" w:fill="auto"/>
            <w:tcW w:w="10491"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Джерело бехперебійного живлення, кількість 4 шт.</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Номінальна вихідна потужність</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1500Ва/900Вт</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Топологія </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гірше лінійно-інтерактивний, з вбудованим регулятором напруги</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Діапазон вхідної напруги, не гірше</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вужче 162 - 290В</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Вхідна частота</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50/60Гц</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Вихідна напруга при роботі від батареї</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230В, апроксимована синусоїда</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перемикання</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більше 4мс</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Ємність батареї</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7,2Аг</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батарей</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2-х</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роботи від батареї при половинному навантаженні</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7,5Хв</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інтелектуальної системи охолодження</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перезарядки батарей до рівня 90%</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більше 8г</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Ток заряду батарей</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0,7А</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Вихідні роз'єми</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4-х типу Schuko з батарейною підтримкою</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Керування </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Вдосконалена РК-панель із інтелектуальною багатофункціональною кнопкою (подвійне клацання вимикає тревогу, а тривале натискання керує виходом).</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Комунікаційні можливості</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USB</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лінії передачі даних</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RJ-11 Port, RJ-45 Port (100mbit)</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w:t>
            </w:r>
            <w:r/>
          </w:p>
        </w:tc>
        <w:tc>
          <w:tcPr>
            <w:shd w:val="clear" w:color="auto" w:fill="auto"/>
            <w:tcW w:w="663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комплекті поставки, або у вільному доступі для завантаження на сайті виробника</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Додаткові функції</w:t>
            </w:r>
            <w:r/>
          </w:p>
        </w:tc>
        <w:tc>
          <w:tcPr>
            <w:shd w:val="clear" w:color="auto" w:fill="auto"/>
            <w:tcW w:w="663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захисту ліній передачі даних Ethernet 1Gb</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Особливості конструкції</w:t>
            </w:r>
            <w:r/>
          </w:p>
        </w:tc>
        <w:tc>
          <w:tcPr>
            <w:shd w:val="clear" w:color="auto" w:fill="auto"/>
            <w:tcW w:w="663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Розташування роз'ємів в тильній частині ДБЖ</w:t>
            </w:r>
            <w:r>
              <w:rPr>
                <w:rFonts w:ascii="Times New Roman" w:hAnsi="Times New Roman" w:cs="Times New Roman"/>
                <w:sz w:val="24"/>
                <w:szCs w:val="24"/>
              </w:rPr>
              <w:br/>
              <w:t xml:space="preserve">Багаторазовий автоматичний запобіжник</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Робочі температури</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вужче 0-40°С</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Габарити ВШГ, не більше</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більше 178 x 148 x 298 мм</w:t>
            </w:r>
            <w:r/>
          </w:p>
        </w:tc>
      </w:tr>
      <w:tr>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більше 9,1 кг</w:t>
            </w:r>
            <w:r/>
          </w:p>
        </w:tc>
      </w:tr>
      <w:tr>
        <w:trPr>
          <w:trHeight w:val="70"/>
        </w:trPr>
        <w:tc>
          <w:tcPr>
            <w:shd w:val="clear" w:color="auto" w:fill="auto"/>
            <w:tcW w:w="85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shd w:val="clear" w:color="auto" w:fill="auto"/>
            <w:tcW w:w="300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Гарантійний термін</w:t>
            </w:r>
            <w:r/>
          </w:p>
        </w:tc>
        <w:tc>
          <w:tcPr>
            <w:shd w:val="clear" w:color="auto" w:fill="auto"/>
            <w:tcW w:w="6634" w:type="dxa"/>
            <w:vAlign w:val="bottom"/>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24</w:t>
            </w:r>
            <w:r/>
          </w:p>
        </w:tc>
      </w:tr>
    </w:tbl>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pStyle w:val="687"/>
        <w:numPr>
          <w:ilvl w:val="0"/>
          <w:numId w:val="1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підтвердження відповідності товару (джерело безперебійного живлення) Учасник повинен надати копію:</w:t>
      </w:r>
      <w:r/>
    </w:p>
    <w:p>
      <w:pPr>
        <w:pStyle w:val="687"/>
        <w:numPr>
          <w:ilvl w:val="0"/>
          <w:numId w:val="1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регламент з електромагнітної сумісності обладнання, затверджений постановою Кабінету Міністрів в від 16 грудня 2015 р. N 1077;</w:t>
      </w:r>
      <w:r/>
    </w:p>
    <w:p>
      <w:pPr>
        <w:pStyle w:val="687"/>
        <w:numPr>
          <w:ilvl w:val="0"/>
          <w:numId w:val="1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регламент низьковольтного електричного обладнання, затверджений постановою Кабінету Міністрів в від 16 грудня 2015 р. N 1067.</w:t>
      </w:r>
      <w:r/>
    </w:p>
    <w:p>
      <w:pPr>
        <w:pStyle w:val="687"/>
        <w:numPr>
          <w:ilvl w:val="0"/>
          <w:numId w:val="19"/>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Копію сертифікату відповідності;</w:t>
      </w:r>
      <w:r/>
    </w:p>
    <w:p>
      <w:pPr>
        <w:pStyle w:val="687"/>
        <w:numPr>
          <w:ilvl w:val="0"/>
          <w:numId w:val="19"/>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Копію чинного висновку державної санітарно-епідеміологічної експертизи.</w:t>
      </w:r>
      <w:r/>
    </w:p>
    <w:p>
      <w:pPr>
        <w:pStyle w:val="687"/>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7"/>
        <w:numPr>
          <w:ilvl w:val="0"/>
          <w:numId w:val="1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Якщо Учасник не </w:t>
      </w:r>
      <w:r>
        <w:rPr>
          <w:rFonts w:ascii="Times New Roman" w:hAnsi="Times New Roman" w:cs="Times New Roman"/>
          <w:sz w:val="24"/>
          <w:szCs w:val="24"/>
        </w:rPr>
        <w:t xml:space="preserve">є виробником обладнання, що входить до складу предметів закупівлі (ДБЖ), то він повинен надати лист від виробника продукції або його офіційного представника (дистриб'ютора) на території України, який підтверджує представницькі (партнерські, дилерські, аген</w:t>
      </w:r>
      <w:r>
        <w:rPr>
          <w:rFonts w:ascii="Times New Roman" w:hAnsi="Times New Roman" w:cs="Times New Roman"/>
          <w:sz w:val="24"/>
          <w:szCs w:val="24"/>
        </w:rPr>
        <w:t xml:space="preserve">тські, дистриб’юторські тощо) повноваження учасника.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pStyle w:val="687"/>
        <w:numPr>
          <w:ilvl w:val="0"/>
          <w:numId w:val="1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pStyle w:val="687"/>
        <w:numPr>
          <w:ilvl w:val="0"/>
          <w:numId w:val="1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надає перелік сервісних центрів служби технічної підтримки, у яких </w:t>
      </w:r>
      <w:r>
        <w:rPr>
          <w:rFonts w:ascii="Times New Roman" w:hAnsi="Times New Roman" w:cs="Times New Roman"/>
          <w:sz w:val="24"/>
          <w:szCs w:val="24"/>
        </w:rPr>
        <w:t xml:space="preserve">буде здійснюватися гарантійне обслуговування ДБЖ на території України. Під час постачання ДБЖ,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pStyle w:val="687"/>
        <w:numPr>
          <w:ilvl w:val="0"/>
          <w:numId w:val="17"/>
        </w:numPr>
        <w:contextualSpacing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надає порівняльну таблицю відповідності запропонованого товару технічним вимогам Замовника; </w:t>
      </w:r>
      <w:r/>
    </w:p>
    <w:p>
      <w:pPr>
        <w:pStyle w:val="6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надання авторизаційного листа (або інших документів) від виробника (-ів) іноземною мовою, цей лист повинен супроводжуватись перекладом на українську мову;</w:t>
      </w:r>
      <w:r/>
    </w:p>
    <w:p>
      <w:pPr>
        <w:pStyle w:val="6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Авторизаційний лист повинен бути адресований Замовнику із обов’язковим зазначенням найменування та номеру закупівлі</w:t>
      </w:r>
      <w:r/>
    </w:p>
    <w:p>
      <w:pPr>
        <w:pStyle w:val="687"/>
        <w:numPr>
          <w:ilvl w:val="0"/>
          <w:numId w:val="17"/>
        </w:numPr>
        <w:contextualSpacing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забезпечує поставку товару за адресою Замовника. Вартість товару включає всі витрати Учасника, пов’язані</w:t>
      </w:r>
      <w:r>
        <w:rPr>
          <w:rFonts w:ascii="Times New Roman" w:hAnsi="Times New Roman" w:cs="Times New Roman"/>
          <w:sz w:val="24"/>
          <w:szCs w:val="24"/>
        </w:rPr>
        <w:t xml:space="preserve"> з його доставкою за адресою Замовника, інсталяцію пропонованого обладнання. Затрати на транспортування до місця поставки, навантаження, розвантаження та страхування товару несе Учасник. (надати гарантійний лист від учасника у складі тендерної пропозиції).</w:t>
      </w:r>
      <w:r/>
    </w:p>
    <w:p>
      <w:pPr>
        <w:pStyle w:val="6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Упаковка запропонованого Учасником товару повинна відповідати стандартам фірми</w:t>
      </w:r>
      <w:r>
        <w:rPr>
          <w:rFonts w:ascii="Times New Roman" w:hAnsi="Times New Roman" w:cs="Times New Roman"/>
          <w:sz w:val="24"/>
          <w:szCs w:val="24"/>
        </w:rPr>
        <w:t xml:space="preserve">-виробника, встановленим для даного виду товару і захищати його від пошкоджень або псування під час перевезення (доставки). Упаковка не повинна мати недоліки за якістю, пошкоджень. Не повинно бути помилок друку або ознак розкриття і повторного пакування). </w:t>
      </w:r>
      <w:r/>
    </w:p>
    <w:p>
      <w:pPr>
        <w:pStyle w:val="6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Всі витрати (податки, збори, транспортні на страхування та інші), що несе Учасник у зв’язку з поставкою, включаються до ціни пропозиції.</w:t>
      </w:r>
      <w:r/>
    </w:p>
    <w:p>
      <w:pPr>
        <w:ind w:firstLine="709"/>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w:t>
      </w:r>
      <w:r>
        <w:rPr>
          <w:rFonts w:ascii="Times New Roman" w:hAnsi="Times New Roman" w:cs="Times New Roman"/>
          <w:bCs/>
          <w:i/>
          <w:iCs/>
          <w:sz w:val="24"/>
          <w:szCs w:val="24"/>
        </w:rPr>
        <w:t xml:space="preserve">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w:t>
      </w:r>
      <w:r>
        <w:rPr>
          <w:rFonts w:ascii="Times New Roman" w:hAnsi="Times New Roman" w:cs="Times New Roman"/>
          <w:bCs/>
          <w:i/>
          <w:iCs/>
          <w:sz w:val="24"/>
          <w:szCs w:val="24"/>
        </w:rPr>
        <w:t xml:space="preserve">технічними та якісними характеристиками рівноцінними, або покращеними, ніж визначені Замовником.</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133 460,00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тридцять три тисячі чотириста шістдесят</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7">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3"/>
  </w:num>
  <w:num w:numId="2">
    <w:abstractNumId w:val="10"/>
  </w:num>
  <w:num w:numId="3">
    <w:abstractNumId w:val="5"/>
  </w:num>
  <w:num w:numId="4">
    <w:abstractNumId w:val="11"/>
  </w:num>
  <w:num w:numId="5">
    <w:abstractNumId w:val="4"/>
  </w:num>
  <w:num w:numId="6">
    <w:abstractNumId w:val="14"/>
  </w:num>
  <w:num w:numId="7">
    <w:abstractNumId w:val="7"/>
  </w:num>
  <w:num w:numId="8">
    <w:abstractNumId w:val="16"/>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0"/>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2"/>
    <w:next w:val="68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84"/>
    <w:link w:val="13"/>
    <w:uiPriority w:val="9"/>
    <w:rPr>
      <w:rFonts w:ascii="Arial" w:hAnsi="Arial" w:eastAsia="Arial" w:cs="Arial"/>
      <w:sz w:val="40"/>
      <w:szCs w:val="40"/>
    </w:rPr>
  </w:style>
  <w:style w:type="character" w:styleId="16">
    <w:name w:val="Heading 2 Char"/>
    <w:basedOn w:val="684"/>
    <w:link w:val="683"/>
    <w:uiPriority w:val="9"/>
    <w:rPr>
      <w:rFonts w:ascii="Arial" w:hAnsi="Arial" w:eastAsia="Arial" w:cs="Arial"/>
      <w:sz w:val="34"/>
    </w:rPr>
  </w:style>
  <w:style w:type="paragraph" w:styleId="17">
    <w:name w:val="Heading 3"/>
    <w:basedOn w:val="682"/>
    <w:next w:val="68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4"/>
    <w:link w:val="17"/>
    <w:uiPriority w:val="9"/>
    <w:rPr>
      <w:rFonts w:ascii="Arial" w:hAnsi="Arial" w:eastAsia="Arial" w:cs="Arial"/>
      <w:sz w:val="30"/>
      <w:szCs w:val="30"/>
    </w:rPr>
  </w:style>
  <w:style w:type="paragraph" w:styleId="19">
    <w:name w:val="Heading 4"/>
    <w:basedOn w:val="682"/>
    <w:next w:val="68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4"/>
    <w:link w:val="19"/>
    <w:uiPriority w:val="9"/>
    <w:rPr>
      <w:rFonts w:ascii="Arial" w:hAnsi="Arial" w:eastAsia="Arial" w:cs="Arial"/>
      <w:b/>
      <w:bCs/>
      <w:sz w:val="26"/>
      <w:szCs w:val="26"/>
    </w:rPr>
  </w:style>
  <w:style w:type="paragraph" w:styleId="21">
    <w:name w:val="Heading 5"/>
    <w:basedOn w:val="682"/>
    <w:next w:val="68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4"/>
    <w:link w:val="21"/>
    <w:uiPriority w:val="9"/>
    <w:rPr>
      <w:rFonts w:ascii="Arial" w:hAnsi="Arial" w:eastAsia="Arial" w:cs="Arial"/>
      <w:b/>
      <w:bCs/>
      <w:sz w:val="24"/>
      <w:szCs w:val="24"/>
    </w:rPr>
  </w:style>
  <w:style w:type="paragraph" w:styleId="23">
    <w:name w:val="Heading 6"/>
    <w:basedOn w:val="682"/>
    <w:next w:val="68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4"/>
    <w:link w:val="23"/>
    <w:uiPriority w:val="9"/>
    <w:rPr>
      <w:rFonts w:ascii="Arial" w:hAnsi="Arial" w:eastAsia="Arial" w:cs="Arial"/>
      <w:b/>
      <w:bCs/>
      <w:sz w:val="22"/>
      <w:szCs w:val="22"/>
    </w:rPr>
  </w:style>
  <w:style w:type="paragraph" w:styleId="25">
    <w:name w:val="Heading 7"/>
    <w:basedOn w:val="682"/>
    <w:next w:val="68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4"/>
    <w:link w:val="25"/>
    <w:uiPriority w:val="9"/>
    <w:rPr>
      <w:rFonts w:ascii="Arial" w:hAnsi="Arial" w:eastAsia="Arial" w:cs="Arial"/>
      <w:b/>
      <w:bCs/>
      <w:i/>
      <w:iCs/>
      <w:sz w:val="22"/>
      <w:szCs w:val="22"/>
    </w:rPr>
  </w:style>
  <w:style w:type="paragraph" w:styleId="27">
    <w:name w:val="Heading 8"/>
    <w:basedOn w:val="682"/>
    <w:next w:val="68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4"/>
    <w:link w:val="27"/>
    <w:uiPriority w:val="9"/>
    <w:rPr>
      <w:rFonts w:ascii="Arial" w:hAnsi="Arial" w:eastAsia="Arial" w:cs="Arial"/>
      <w:i/>
      <w:iCs/>
      <w:sz w:val="22"/>
      <w:szCs w:val="22"/>
    </w:rPr>
  </w:style>
  <w:style w:type="paragraph" w:styleId="29">
    <w:name w:val="Heading 9"/>
    <w:basedOn w:val="682"/>
    <w:next w:val="68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4"/>
    <w:link w:val="29"/>
    <w:uiPriority w:val="9"/>
    <w:rPr>
      <w:rFonts w:ascii="Arial" w:hAnsi="Arial" w:eastAsia="Arial" w:cs="Arial"/>
      <w:i/>
      <w:iCs/>
      <w:sz w:val="21"/>
      <w:szCs w:val="21"/>
    </w:rPr>
  </w:style>
  <w:style w:type="paragraph" w:styleId="34">
    <w:name w:val="Title"/>
    <w:basedOn w:val="682"/>
    <w:next w:val="682"/>
    <w:link w:val="35"/>
    <w:uiPriority w:val="10"/>
    <w:qFormat/>
    <w:pPr>
      <w:contextualSpacing/>
      <w:spacing w:before="300" w:after="200"/>
    </w:pPr>
    <w:rPr>
      <w:sz w:val="48"/>
      <w:szCs w:val="48"/>
    </w:rPr>
  </w:style>
  <w:style w:type="character" w:styleId="35">
    <w:name w:val="Title Char"/>
    <w:basedOn w:val="684"/>
    <w:link w:val="34"/>
    <w:uiPriority w:val="10"/>
    <w:rPr>
      <w:sz w:val="48"/>
      <w:szCs w:val="48"/>
    </w:rPr>
  </w:style>
  <w:style w:type="paragraph" w:styleId="36">
    <w:name w:val="Subtitle"/>
    <w:basedOn w:val="682"/>
    <w:next w:val="682"/>
    <w:link w:val="37"/>
    <w:uiPriority w:val="11"/>
    <w:qFormat/>
    <w:pPr>
      <w:spacing w:before="200" w:after="200"/>
    </w:pPr>
    <w:rPr>
      <w:sz w:val="24"/>
      <w:szCs w:val="24"/>
    </w:rPr>
  </w:style>
  <w:style w:type="character" w:styleId="37">
    <w:name w:val="Subtitle Char"/>
    <w:basedOn w:val="684"/>
    <w:link w:val="36"/>
    <w:uiPriority w:val="11"/>
    <w:rPr>
      <w:sz w:val="24"/>
      <w:szCs w:val="24"/>
    </w:rPr>
  </w:style>
  <w:style w:type="paragraph" w:styleId="38">
    <w:name w:val="Quote"/>
    <w:basedOn w:val="682"/>
    <w:next w:val="682"/>
    <w:link w:val="39"/>
    <w:uiPriority w:val="29"/>
    <w:qFormat/>
    <w:pPr>
      <w:ind w:left="720" w:right="720"/>
    </w:pPr>
    <w:rPr>
      <w:i/>
    </w:rPr>
  </w:style>
  <w:style w:type="character" w:styleId="39">
    <w:name w:val="Quote Char"/>
    <w:link w:val="38"/>
    <w:uiPriority w:val="29"/>
    <w:rPr>
      <w:i/>
    </w:rPr>
  </w:style>
  <w:style w:type="paragraph" w:styleId="40">
    <w:name w:val="Intense Quote"/>
    <w:basedOn w:val="682"/>
    <w:next w:val="68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82"/>
    <w:link w:val="43"/>
    <w:uiPriority w:val="99"/>
    <w:unhideWhenUsed/>
    <w:pPr>
      <w:spacing w:after="0" w:line="240" w:lineRule="auto"/>
      <w:tabs>
        <w:tab w:val="center" w:pos="7143" w:leader="none"/>
        <w:tab w:val="right" w:pos="14287" w:leader="none"/>
      </w:tabs>
    </w:pPr>
  </w:style>
  <w:style w:type="character" w:styleId="43">
    <w:name w:val="Header Char"/>
    <w:basedOn w:val="684"/>
    <w:link w:val="42"/>
    <w:uiPriority w:val="99"/>
  </w:style>
  <w:style w:type="character" w:styleId="45">
    <w:name w:val="Footer Char"/>
    <w:basedOn w:val="684"/>
    <w:link w:val="693"/>
    <w:uiPriority w:val="99"/>
  </w:style>
  <w:style w:type="paragraph" w:styleId="46">
    <w:name w:val="Caption"/>
    <w:basedOn w:val="682"/>
    <w:next w:val="682"/>
    <w:uiPriority w:val="35"/>
    <w:semiHidden/>
    <w:unhideWhenUsed/>
    <w:qFormat/>
    <w:pPr>
      <w:spacing w:line="276" w:lineRule="auto"/>
    </w:pPr>
    <w:rPr>
      <w:b/>
      <w:bCs/>
      <w:color w:val="4f81bd" w:themeColor="accent1"/>
      <w:sz w:val="18"/>
      <w:szCs w:val="18"/>
    </w:rPr>
  </w:style>
  <w:style w:type="character" w:styleId="47">
    <w:name w:val="Caption Char"/>
    <w:basedOn w:val="46"/>
    <w:link w:val="693"/>
    <w:uiPriority w:val="99"/>
  </w:style>
  <w:style w:type="table" w:styleId="49">
    <w:name w:val="Table Grid Light"/>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4"/>
    <w:uiPriority w:val="99"/>
    <w:unhideWhenUsed/>
    <w:rPr>
      <w:vertAlign w:val="superscript"/>
    </w:rPr>
  </w:style>
  <w:style w:type="paragraph" w:styleId="178">
    <w:name w:val="endnote text"/>
    <w:basedOn w:val="68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4"/>
    <w:uiPriority w:val="99"/>
    <w:semiHidden/>
    <w:unhideWhenUsed/>
    <w:rPr>
      <w:vertAlign w:val="superscript"/>
    </w:rPr>
  </w:style>
  <w:style w:type="paragraph" w:styleId="181">
    <w:name w:val="toc 1"/>
    <w:basedOn w:val="682"/>
    <w:next w:val="682"/>
    <w:uiPriority w:val="39"/>
    <w:unhideWhenUsed/>
    <w:pPr>
      <w:ind w:left="0" w:right="0" w:firstLine="0"/>
      <w:spacing w:after="57"/>
    </w:pPr>
  </w:style>
  <w:style w:type="paragraph" w:styleId="182">
    <w:name w:val="toc 2"/>
    <w:basedOn w:val="682"/>
    <w:next w:val="682"/>
    <w:uiPriority w:val="39"/>
    <w:unhideWhenUsed/>
    <w:pPr>
      <w:ind w:left="283" w:right="0" w:firstLine="0"/>
      <w:spacing w:after="57"/>
    </w:pPr>
  </w:style>
  <w:style w:type="paragraph" w:styleId="183">
    <w:name w:val="toc 3"/>
    <w:basedOn w:val="682"/>
    <w:next w:val="682"/>
    <w:uiPriority w:val="39"/>
    <w:unhideWhenUsed/>
    <w:pPr>
      <w:ind w:left="567" w:right="0" w:firstLine="0"/>
      <w:spacing w:after="57"/>
    </w:pPr>
  </w:style>
  <w:style w:type="paragraph" w:styleId="184">
    <w:name w:val="toc 4"/>
    <w:basedOn w:val="682"/>
    <w:next w:val="682"/>
    <w:uiPriority w:val="39"/>
    <w:unhideWhenUsed/>
    <w:pPr>
      <w:ind w:left="850" w:right="0" w:firstLine="0"/>
      <w:spacing w:after="57"/>
    </w:pPr>
  </w:style>
  <w:style w:type="paragraph" w:styleId="185">
    <w:name w:val="toc 5"/>
    <w:basedOn w:val="682"/>
    <w:next w:val="682"/>
    <w:uiPriority w:val="39"/>
    <w:unhideWhenUsed/>
    <w:pPr>
      <w:ind w:left="1134" w:right="0" w:firstLine="0"/>
      <w:spacing w:after="57"/>
    </w:pPr>
  </w:style>
  <w:style w:type="paragraph" w:styleId="186">
    <w:name w:val="toc 6"/>
    <w:basedOn w:val="682"/>
    <w:next w:val="682"/>
    <w:uiPriority w:val="39"/>
    <w:unhideWhenUsed/>
    <w:pPr>
      <w:ind w:left="1417" w:right="0" w:firstLine="0"/>
      <w:spacing w:after="57"/>
    </w:pPr>
  </w:style>
  <w:style w:type="paragraph" w:styleId="187">
    <w:name w:val="toc 7"/>
    <w:basedOn w:val="682"/>
    <w:next w:val="682"/>
    <w:uiPriority w:val="39"/>
    <w:unhideWhenUsed/>
    <w:pPr>
      <w:ind w:left="1701" w:right="0" w:firstLine="0"/>
      <w:spacing w:after="57"/>
    </w:pPr>
  </w:style>
  <w:style w:type="paragraph" w:styleId="188">
    <w:name w:val="toc 8"/>
    <w:basedOn w:val="682"/>
    <w:next w:val="682"/>
    <w:uiPriority w:val="39"/>
    <w:unhideWhenUsed/>
    <w:pPr>
      <w:ind w:left="1984" w:right="0" w:firstLine="0"/>
      <w:spacing w:after="57"/>
    </w:pPr>
  </w:style>
  <w:style w:type="paragraph" w:styleId="189">
    <w:name w:val="toc 9"/>
    <w:basedOn w:val="682"/>
    <w:next w:val="682"/>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2"/>
    <w:next w:val="682"/>
    <w:uiPriority w:val="99"/>
    <w:unhideWhenUsed/>
    <w:pPr>
      <w:spacing w:after="0" w:afterAutospacing="0"/>
    </w:pPr>
  </w:style>
  <w:style w:type="paragraph" w:styleId="682" w:default="1">
    <w:name w:val="Normal"/>
    <w:qFormat/>
    <w:rPr>
      <w:lang w:val="uk-UA"/>
    </w:rPr>
  </w:style>
  <w:style w:type="paragraph" w:styleId="683">
    <w:name w:val="Heading 2"/>
    <w:basedOn w:val="682"/>
    <w:link w:val="702"/>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4" w:default="1">
    <w:name w:val="Default Paragraph Font"/>
    <w:uiPriority w:val="1"/>
    <w:semiHidden/>
    <w:unhideWhenUsed/>
  </w:style>
  <w:style w:type="table" w:styleId="685" w:default="1">
    <w:name w:val="Normal Table"/>
    <w:uiPriority w:val="99"/>
    <w:semiHidden/>
    <w:unhideWhenUsed/>
    <w:tblPr>
      <w:tblInd w:w="0" w:type="dxa"/>
      <w:tblCellMar>
        <w:left w:w="108" w:type="dxa"/>
        <w:top w:w="0" w:type="dxa"/>
        <w:right w:w="108" w:type="dxa"/>
        <w:bottom w:w="0" w:type="dxa"/>
      </w:tblCellMar>
    </w:tblPr>
  </w:style>
  <w:style w:type="numbering" w:styleId="686" w:default="1">
    <w:name w:val="No List"/>
    <w:uiPriority w:val="99"/>
    <w:semiHidden/>
    <w:unhideWhenUsed/>
  </w:style>
  <w:style w:type="paragraph" w:styleId="687">
    <w:name w:val="List Paragraph"/>
    <w:basedOn w:val="682"/>
    <w:link w:val="688"/>
    <w:uiPriority w:val="34"/>
    <w:qFormat/>
    <w:pPr>
      <w:contextualSpacing/>
      <w:ind w:left="720"/>
      <w:spacing w:after="200" w:line="276" w:lineRule="auto"/>
    </w:pPr>
    <w:rPr>
      <w:rFonts w:ascii="Calibri" w:hAnsi="Calibri" w:eastAsia="Calibri" w:cs="Calibri"/>
      <w:lang w:val="ru-RU" w:eastAsia="zh-CN"/>
    </w:rPr>
  </w:style>
  <w:style w:type="character" w:styleId="688" w:customStyle="1">
    <w:name w:val="Абзац списку Знак"/>
    <w:link w:val="687"/>
    <w:uiPriority w:val="34"/>
    <w:rPr>
      <w:rFonts w:ascii="Calibri" w:hAnsi="Calibri" w:eastAsia="Calibri" w:cs="Calibri"/>
      <w:lang w:eastAsia="zh-CN"/>
    </w:rPr>
  </w:style>
  <w:style w:type="table" w:styleId="689">
    <w:name w:val="Table Grid"/>
    <w:basedOn w:val="685"/>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0" w:customStyle="1">
    <w:name w:val="Сетка таблицы2"/>
    <w:basedOn w:val="685"/>
    <w:next w:val="689"/>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1">
    <w:name w:val="Normal (Web)"/>
    <w:basedOn w:val="682"/>
    <w:link w:val="698"/>
    <w:uiPriority w:val="99"/>
    <w:unhideWhenUsed/>
    <w:qFormat/>
    <w:rPr>
      <w:rFonts w:ascii="Times New Roman" w:hAnsi="Times New Roman" w:cs="Times New Roman"/>
      <w:sz w:val="24"/>
      <w:szCs w:val="24"/>
    </w:rPr>
  </w:style>
  <w:style w:type="table" w:styleId="692" w:customStyle="1">
    <w:name w:val="Сетка таблицы1"/>
    <w:basedOn w:val="685"/>
    <w:next w:val="689"/>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3">
    <w:name w:val="Footer"/>
    <w:basedOn w:val="682"/>
    <w:link w:val="694"/>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4" w:customStyle="1">
    <w:name w:val="Нижній колонтитул Знак"/>
    <w:basedOn w:val="684"/>
    <w:link w:val="693"/>
    <w:uiPriority w:val="99"/>
    <w:rPr>
      <w:rFonts w:ascii="Calibri" w:hAnsi="Calibri" w:eastAsia="Calibri" w:cs="Calibri"/>
      <w:lang w:eastAsia="zh-CN"/>
    </w:rPr>
  </w:style>
  <w:style w:type="paragraph" w:styleId="695"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6">
    <w:name w:val="Hyperlink"/>
    <w:basedOn w:val="684"/>
    <w:uiPriority w:val="99"/>
    <w:unhideWhenUsed/>
    <w:rPr>
      <w:color w:val="0563c1" w:themeColor="hyperlink"/>
      <w:u w:val="single"/>
    </w:rPr>
  </w:style>
  <w:style w:type="character" w:styleId="697" w:customStyle="1">
    <w:name w:val="xfm_93972720"/>
    <w:basedOn w:val="684"/>
  </w:style>
  <w:style w:type="character" w:styleId="698" w:customStyle="1">
    <w:name w:val="Звичайний (веб) Знак"/>
    <w:link w:val="691"/>
    <w:qFormat/>
    <w:rPr>
      <w:rFonts w:ascii="Times New Roman" w:hAnsi="Times New Roman" w:cs="Times New Roman"/>
      <w:sz w:val="24"/>
      <w:szCs w:val="24"/>
      <w:lang w:val="uk-UA"/>
    </w:rPr>
  </w:style>
  <w:style w:type="paragraph" w:styleId="699">
    <w:name w:val="Body Text 2"/>
    <w:basedOn w:val="682"/>
    <w:link w:val="700"/>
    <w:pPr>
      <w:spacing w:after="0" w:line="240" w:lineRule="auto"/>
    </w:pPr>
    <w:rPr>
      <w:rFonts w:ascii="Times New Roman" w:hAnsi="Times New Roman" w:eastAsia="Times New Roman" w:cs="Times New Roman"/>
      <w:sz w:val="28"/>
      <w:szCs w:val="20"/>
      <w:lang w:val="ru-RU" w:eastAsia="ru-RU"/>
    </w:rPr>
  </w:style>
  <w:style w:type="character" w:styleId="700" w:customStyle="1">
    <w:name w:val="Основний текст 2 Знак"/>
    <w:basedOn w:val="684"/>
    <w:link w:val="699"/>
    <w:rPr>
      <w:rFonts w:ascii="Times New Roman" w:hAnsi="Times New Roman" w:eastAsia="Times New Roman" w:cs="Times New Roman"/>
      <w:sz w:val="28"/>
      <w:szCs w:val="20"/>
      <w:lang w:eastAsia="ru-RU"/>
    </w:rPr>
  </w:style>
  <w:style w:type="paragraph" w:styleId="701"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2" w:customStyle="1">
    <w:name w:val="Заголовок 2 Знак"/>
    <w:basedOn w:val="684"/>
    <w:link w:val="683"/>
    <w:uiPriority w:val="9"/>
    <w:rPr>
      <w:rFonts w:ascii="Times New Roman" w:hAnsi="Times New Roman" w:eastAsia="Times New Roman" w:cs="Times New Roman"/>
      <w:b/>
      <w:bCs/>
      <w:sz w:val="36"/>
      <w:szCs w:val="36"/>
      <w:lang w:val="uk-UA" w:eastAsia="uk-UA"/>
    </w:rPr>
  </w:style>
  <w:style w:type="paragraph" w:styleId="703">
    <w:name w:val="No Spacing"/>
    <w:link w:val="704"/>
    <w:uiPriority w:val="1"/>
    <w:qFormat/>
    <w:pPr>
      <w:spacing w:after="0" w:line="240" w:lineRule="auto"/>
    </w:pPr>
    <w:rPr>
      <w:rFonts w:ascii="Calibri" w:hAnsi="Calibri" w:eastAsia="Calibri" w:cs="Times New Roman"/>
      <w:lang w:val="uk-UA"/>
    </w:rPr>
  </w:style>
  <w:style w:type="character" w:styleId="704" w:customStyle="1">
    <w:name w:val="Без інтервалів Знак"/>
    <w:basedOn w:val="684"/>
    <w:link w:val="703"/>
    <w:uiPriority w:val="1"/>
    <w:rPr>
      <w:rFonts w:ascii="Calibri" w:hAnsi="Calibri" w:eastAsia="Calibri" w:cs="Times New Roman"/>
      <w:lang w:val="uk-UA"/>
    </w:rPr>
  </w:style>
  <w:style w:type="character" w:styleId="705" w:customStyle="1">
    <w:name w:val="Другое_"/>
    <w:basedOn w:val="684"/>
    <w:link w:val="706"/>
    <w:rPr>
      <w:rFonts w:ascii="Calibri" w:hAnsi="Calibri" w:eastAsia="Calibri" w:cs="Calibri"/>
      <w:sz w:val="20"/>
      <w:szCs w:val="20"/>
    </w:rPr>
  </w:style>
  <w:style w:type="paragraph" w:styleId="706" w:customStyle="1">
    <w:name w:val="Другое"/>
    <w:basedOn w:val="682"/>
    <w:link w:val="705"/>
    <w:pPr>
      <w:spacing w:after="0" w:line="240" w:lineRule="auto"/>
      <w:widowControl w:val="off"/>
    </w:pPr>
    <w:rPr>
      <w:rFonts w:ascii="Calibri" w:hAnsi="Calibri" w:eastAsia="Calibri" w:cs="Calibri"/>
      <w:sz w:val="20"/>
      <w:szCs w:val="20"/>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96</cp:revision>
  <dcterms:created xsi:type="dcterms:W3CDTF">2022-11-01T12:47:00Z</dcterms:created>
  <dcterms:modified xsi:type="dcterms:W3CDTF">2023-06-05T13:55:07Z</dcterms:modified>
</cp:coreProperties>
</file>