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«Послуги з подовження дії сервісних контрактів та ліцензій на загальносистемне програмне забезпечення модульних Центрів обробки даних MDC EX.20.2.40» за кодом  ДК 021:2015: ДК 021:2015: 48510000-6 Пакети комунікаційного програмного 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UA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-2023-02-16-015124-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Послуги з подовження дії сервісних контрактів та ліцензій на загальносистемне програмне забезпечення модульних Центрів обробки даних MDC EX.20.2.40»</w:t>
      </w:r>
      <w:r/>
    </w:p>
    <w:p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Послуги з подовження дії сервісних контрактів та ліцензій на загальносистемне програмне забезпечення модульних Центрів обробки даних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MDC EX</w:t>
      </w:r>
      <w:r>
        <w:rPr>
          <w:rFonts w:ascii="Times New Roman" w:hAnsi="Times New Roman" w:cs="Times New Roman"/>
          <w:bCs/>
          <w:sz w:val="24"/>
          <w:szCs w:val="24"/>
        </w:rPr>
        <w:t xml:space="preserve">.20.2.40 за кодом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CPV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ЄЗС ДК 021:2015: 48510000-6 Пакети комунікаційного програмного забезпечення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Сервісні контракти повинні бути прямі від Виробника, що надасть Замовнику прямий доступ до всіх опцій сервісного контракту та ресурсів CISCO без посередника, а саме: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Авансову заміну обладн</w:t>
      </w:r>
      <w:r>
        <w:rPr>
          <w:rFonts w:ascii="Times New Roman" w:hAnsi="Times New Roman" w:cs="Times New Roman"/>
          <w:sz w:val="24"/>
          <w:szCs w:val="24"/>
        </w:rPr>
        <w:t xml:space="preserve">ання зі складу в Києві на наступний робочий день, якщо інженер Сіско підтвердив таку необхідність до 17 год. попереднього робочого дня або протягом 4х годин (в робочі на  неробочі години в залежності від вибраного рівня – така опція існує лише для Києва).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до закритої частини сайту </w:t>
      </w:r>
      <w:hyperlink r:id="rId11" w:tooltip="http://xn--isco-k6d.com" w:history="1">
        <w:r>
          <w:rPr>
            <w:rStyle w:val="682"/>
            <w:rFonts w:ascii="Times New Roman" w:hAnsi="Times New Roman" w:cs="Times New Roman"/>
            <w:sz w:val="24"/>
            <w:szCs w:val="24"/>
          </w:rPr>
          <w:t xml:space="preserve">сisco.com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де знаходяться матеріали щодо продуктів, технологій, форуми та інформація з навчання та самовдосконалення.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Оновлення програмного забезпечення (апдейти та апгрейди в залежності від рівня вибраного сервіса).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Вирішення сервісних інцидентів за допомогою експертів цілодобової служби технічної підтримки (Cisco TAC).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</w:t>
      </w:r>
      <w:r>
        <w:rPr>
          <w:rFonts w:ascii="Times New Roman" w:hAnsi="Times New Roman" w:cs="Times New Roman"/>
          <w:sz w:val="24"/>
          <w:szCs w:val="24"/>
        </w:rPr>
        <w:t xml:space="preserve">ти оригінал листа від виробника запропонованого товару (послуги), яким підтверджуються повноваження Учасника щодо постачання товару (послуги). Лист повинен містити посилання на оголошення про закупівлю в системі Prozorro із зазначенням предмету закупівлі.»</w:t>
      </w:r>
      <w:r/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ab/>
        <w:t xml:space="preserve">У разі ненадання вказаних документів пропозиція учасника розглядатися </w:t>
      </w:r>
      <w:r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не буде.</w:t>
      </w:r>
      <w:r/>
    </w:p>
    <w:p>
      <w:pPr>
        <w:ind w:firstLine="708"/>
        <w:jc w:val="both"/>
        <w:spacing w:after="0" w:line="240" w:lineRule="auto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Копії документів в паперовому вигляді, завірені підписом та печаткою учасника, які підтверджують відповідність вимогам, зазначеним у цьому пункті, надаються замовнику переможцем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під час укладання договору про закупівлю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</w:t>
      </w:r>
      <w:r/>
    </w:p>
    <w:p>
      <w:pPr>
        <w:rPr>
          <w:rFonts w:ascii="Times New Roman" w:hAnsi="Times New Roman" w:cs="DejaVu Sans Condensed"/>
          <w:b/>
          <w:sz w:val="28"/>
          <w:szCs w:val="28"/>
          <w:lang w:eastAsia="ru-RU" w:bidi="hi-IN"/>
        </w:rPr>
      </w:pPr>
      <w:r>
        <w:rPr>
          <w:rFonts w:ascii="Times New Roman" w:hAnsi="Times New Roman" w:cs="DejaVu Sans Condensed"/>
          <w:b/>
          <w:sz w:val="28"/>
          <w:szCs w:val="28"/>
          <w:lang w:eastAsia="ru-RU" w:bidi="hi-IN"/>
        </w:rPr>
      </w:r>
      <w:r/>
    </w:p>
    <w:tbl>
      <w:tblPr>
        <w:tblStyle w:val="676"/>
        <w:tblW w:w="5000" w:type="pct"/>
        <w:tblLayout w:type="fixed"/>
        <w:tblLook w:val="04A0" w:firstRow="1" w:lastRow="0" w:firstColumn="1" w:lastColumn="0" w:noHBand="0" w:noVBand="1"/>
      </w:tblPr>
      <w:tblGrid>
        <w:gridCol w:w="597"/>
        <w:gridCol w:w="1814"/>
        <w:gridCol w:w="4524"/>
        <w:gridCol w:w="1420"/>
        <w:gridCol w:w="127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Артикул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CON-ECMU-CUICBASE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Software License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CON-3ECMU-HXVSEPLD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 3YR DISTI Factory Installed - VMware vSphere6 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CON-ECMUS-ACISECXF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SOLN SUPP SWSS Security License for DCN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CON-ECMU-SFFMCK9VC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Firepower Management Center, (VMWa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CON-ECMUS-MSVAPPL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SOLN SUPP SWSS DCN Multi-Site Virtu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CON-ECMU-SVRB49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Res Lic - 10-49 bare metal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CON-ECMU-SVRP49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Res Lic - 10-49 Phy Srv,Sto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CON-ISV1-EL2S2V3A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ISV 24X7 RHEL Server 2Socket-OR-2Virtual; ANNUAL List Price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CON-3SNT-240CM5SX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Cisco HyperFlex HX240c M5 Node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CON-3SNT-C220M5SX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UCS C220 M5 SFF 10 HD w/o CPU, mem, HD, PCI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CON-3SNT-FPR2130W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Cisco Firepower 2130 NGFW Appliance, 1U,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CON-3SNT-SP16UP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(Not sold standalone) UCS 6332-16UP FI/4 QS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CON-3SNT-SPFI6332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(Not sold standalone) UCS 6332 1RU FI/12 QS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CON-3SNT-UCSS3260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8X5XNBD, Cisco UCS S3260 Storage Server Base Chassi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CON-SSSNT-APICCLM3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APIC Cluster - Mediu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CON-SSSNT-ASR20GK9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ASR1001-X 20G Base Bundle K9 AES Built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CON-SSSNT-FLSA11XW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2.5G to 20Gbps upgrade License for ASR 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CON-SSSNT-N9336FX2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Nexus 9300 Series, 36p 40/100G QSFP28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CON-SSSNT-N9KC9332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Nexus 9K ACI NX-OS Spine, 32p 40/100G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CON-SSSNT-SLASR1AM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Cisco ASR 1000 Advanced Enterprise Service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L-FPR2130T-T-3Y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FPR2130 Threat Defense Threat Protection 3Y Subs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SCALITY-SUPP-G-1YR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Scality 24/7 Support &amp; Maintenance; GEO; Annual Fee, комплект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46 481 382,16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шість мільйонів чотириста вісімдесят одна тисяча триста вісімдесят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ійок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DejaVu Sans Condensed">
    <w:panose1 w:val="020B06060308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0"/>
    <w:next w:val="67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0"/>
    <w:next w:val="67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0"/>
    <w:next w:val="67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0"/>
    <w:next w:val="67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0"/>
    <w:next w:val="67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0"/>
    <w:next w:val="67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0"/>
    <w:next w:val="67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0"/>
    <w:next w:val="67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0"/>
    <w:next w:val="67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0"/>
    <w:next w:val="67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1"/>
    <w:link w:val="33"/>
    <w:uiPriority w:val="10"/>
    <w:rPr>
      <w:sz w:val="48"/>
      <w:szCs w:val="48"/>
    </w:rPr>
  </w:style>
  <w:style w:type="paragraph" w:styleId="35">
    <w:name w:val="Subtitle"/>
    <w:basedOn w:val="670"/>
    <w:next w:val="67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1"/>
    <w:link w:val="35"/>
    <w:uiPriority w:val="11"/>
    <w:rPr>
      <w:sz w:val="24"/>
      <w:szCs w:val="24"/>
    </w:rPr>
  </w:style>
  <w:style w:type="paragraph" w:styleId="37">
    <w:name w:val="Quote"/>
    <w:basedOn w:val="670"/>
    <w:next w:val="67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0"/>
    <w:next w:val="67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7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71"/>
    <w:link w:val="41"/>
    <w:uiPriority w:val="99"/>
  </w:style>
  <w:style w:type="character" w:styleId="44">
    <w:name w:val="Footer Char"/>
    <w:basedOn w:val="671"/>
    <w:link w:val="680"/>
    <w:uiPriority w:val="99"/>
  </w:style>
  <w:style w:type="paragraph" w:styleId="45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0"/>
    <w:uiPriority w:val="99"/>
  </w:style>
  <w:style w:type="table" w:styleId="4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1"/>
    <w:uiPriority w:val="99"/>
    <w:unhideWhenUsed/>
    <w:rPr>
      <w:vertAlign w:val="superscript"/>
    </w:rPr>
  </w:style>
  <w:style w:type="paragraph" w:styleId="177">
    <w:name w:val="endnote text"/>
    <w:basedOn w:val="67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1"/>
    <w:uiPriority w:val="99"/>
    <w:semiHidden/>
    <w:unhideWhenUsed/>
    <w:rPr>
      <w:vertAlign w:val="superscript"/>
    </w:rPr>
  </w:style>
  <w:style w:type="paragraph" w:styleId="180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rPr>
      <w:lang w:val="uk-UA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>
    <w:name w:val="List Paragraph"/>
    <w:basedOn w:val="670"/>
    <w:link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5" w:customStyle="1">
    <w:name w:val="Абзац списку Знак"/>
    <w:link w:val="674"/>
    <w:uiPriority w:val="34"/>
    <w:rPr>
      <w:rFonts w:ascii="Calibri" w:hAnsi="Calibri" w:eastAsia="Calibri" w:cs="Calibri"/>
      <w:lang w:eastAsia="zh-CN"/>
    </w:rPr>
  </w:style>
  <w:style w:type="table" w:styleId="676">
    <w:name w:val="Table Grid"/>
    <w:basedOn w:val="6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7" w:customStyle="1">
    <w:name w:val="Сетка таблицы2"/>
    <w:basedOn w:val="672"/>
    <w:next w:val="67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8">
    <w:name w:val="Normal (Web)"/>
    <w:basedOn w:val="670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9" w:customStyle="1">
    <w:name w:val="Сетка таблицы1"/>
    <w:basedOn w:val="672"/>
    <w:next w:val="67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Footer"/>
    <w:basedOn w:val="670"/>
    <w:link w:val="68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1" w:customStyle="1">
    <w:name w:val="Нижній колонтитул Знак"/>
    <w:basedOn w:val="671"/>
    <w:link w:val="680"/>
    <w:uiPriority w:val="99"/>
    <w:rPr>
      <w:rFonts w:ascii="Calibri" w:hAnsi="Calibri" w:eastAsia="Calibri" w:cs="Calibri"/>
      <w:lang w:eastAsia="zh-CN"/>
    </w:rPr>
  </w:style>
  <w:style w:type="character" w:styleId="682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xn--isco-k6d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5B16-4BCC-48F5-9C07-5BDC0B31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44</cp:revision>
  <dcterms:created xsi:type="dcterms:W3CDTF">2022-11-01T12:47:00Z</dcterms:created>
  <dcterms:modified xsi:type="dcterms:W3CDTF">2023-02-17T07:53:45Z</dcterms:modified>
</cp:coreProperties>
</file>