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міжкімнатних скляних стін-перегородок із встановленням за ДК 021:2015: 44110000-4 Конструкційні матеріали (44112310-4 Стіни-перегородки)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08906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міжкімнатних скляних стін-перегородок із встановленням</w:t>
      </w:r>
      <w:r>
        <w:rPr>
          <w:rFonts w:ascii="Times New Roman" w:hAnsi="Times New Roman" w:cs="Times New Roman"/>
          <w:sz w:val="24"/>
          <w:szCs w:val="24"/>
        </w:rPr>
        <w:b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94"/>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96"/>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96"/>
              <w:jc w:val="center"/>
              <w:rPr>
                <w:b/>
                <w:bCs/>
                <w:lang w:val="ru-RU"/>
              </w:rPr>
            </w:pPr>
            <w:r>
              <w:rPr>
                <w:b/>
                <w:bCs/>
                <w:lang w:val="ru-RU"/>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96"/>
              <w:jc w:val="center"/>
              <w:rPr>
                <w:b/>
                <w:bCs/>
                <w:lang w:val="ru-RU"/>
              </w:rPr>
            </w:pPr>
            <w:r>
              <w:rPr>
                <w:b/>
                <w:bCs/>
                <w:lang w:val="ru-RU"/>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9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9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96"/>
              <w:jc w:val="both"/>
              <w:rPr>
                <w:b/>
                <w:bCs/>
                <w:lang w:val="ru-RU"/>
              </w:rPr>
            </w:pPr>
            <w:r>
              <w:rPr>
                <w:b/>
                <w:bCs/>
                <w:lang w:val="ru-RU"/>
              </w:rPr>
              <w:t xml:space="preserve">Міжкімнатна скляна перегородка кутова (зі встановленням)</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96"/>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96"/>
              <w:jc w:val="center"/>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96"/>
              <w:jc w:val="center"/>
              <w:rPr>
                <w:lang w:val="ru-RU"/>
              </w:rPr>
            </w:pPr>
            <w:r>
              <w:rPr>
                <w:b/>
                <w:bCs/>
                <w:lang w:val="ru-RU"/>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96"/>
              <w:jc w:val="both"/>
              <w:rPr>
                <w:b/>
                <w:bCs/>
                <w:lang w:val="ru-RU"/>
              </w:rPr>
            </w:pPr>
            <w:r>
              <w:rPr>
                <w:b/>
                <w:bCs/>
                <w:lang w:val="ru-RU"/>
              </w:rPr>
              <w:t xml:space="preserve">Міжкімнатна скляна перегородка (зі встановленням)</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96"/>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96"/>
              <w:jc w:val="center"/>
              <w:rPr>
                <w:lang w:val="ru-RU"/>
              </w:rPr>
            </w:pPr>
            <w:r>
              <w:rPr>
                <w:b/>
                <w:lang w:val="ru-RU"/>
              </w:rPr>
              <w:t xml:space="preserve">1</w:t>
            </w:r>
            <w:r/>
          </w:p>
        </w:tc>
      </w:tr>
    </w:tbl>
    <w:p>
      <w:pPr>
        <w:pStyle w:val="696"/>
        <w:jc w:val="both"/>
        <w:spacing w:after="0" w:line="240" w:lineRule="auto"/>
        <w:rPr>
          <w:rFonts w:eastAsia="Times New Roman"/>
          <w:b/>
          <w:bCs/>
          <w:i/>
          <w:iCs/>
          <w:lang w:eastAsia="ru-RU"/>
        </w:rPr>
      </w:pPr>
      <w:r>
        <w:rPr>
          <w:rFonts w:eastAsia="Times New Roman"/>
          <w:b/>
          <w:bCs/>
          <w:i/>
          <w:iCs/>
          <w:lang w:eastAsia="ru-RU"/>
        </w:rPr>
      </w:r>
      <w:r/>
    </w:p>
    <w:p>
      <w:pPr>
        <w:pStyle w:val="69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w:t>
      </w:r>
      <w:r>
        <w:rPr>
          <w:b/>
          <w:bCs/>
          <w:i/>
          <w:iCs/>
          <w:lang w:eastAsia="ru-RU"/>
        </w:rPr>
        <w:t xml:space="preserve">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w:t>
      </w:r>
      <w:r>
        <w:rPr>
          <w:b/>
          <w:bCs/>
          <w:i/>
          <w:iCs/>
          <w:lang w:eastAsia="ru-RU"/>
        </w:rPr>
        <w:t xml:space="preserve">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 монтаж, встановлення (введення в експлуатацію) Товару.</w:t>
      </w:r>
      <w:r/>
    </w:p>
    <w:p>
      <w:pPr>
        <w:pStyle w:val="696"/>
        <w:jc w:val="both"/>
        <w:spacing w:after="0" w:line="240" w:lineRule="auto"/>
        <w:rPr>
          <w:b/>
          <w:bCs/>
          <w:i/>
          <w:iCs/>
          <w:lang w:eastAsia="uk-UA"/>
        </w:rPr>
      </w:pPr>
      <w:r>
        <w:rPr>
          <w:b/>
          <w:bCs/>
          <w:i/>
          <w:iCs/>
          <w:lang w:eastAsia="uk-UA"/>
        </w:rPr>
      </w:r>
      <w:r/>
    </w:p>
    <w:p>
      <w:pPr>
        <w:pStyle w:val="696"/>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lang w:eastAsia="ru-RU"/>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w:t>
      </w:r>
      <w:r>
        <w:rPr>
          <w:rFonts w:ascii="Times New Roman" w:hAnsi="Times New Roman" w:cs="Times New Roman"/>
          <w:sz w:val="24"/>
          <w:szCs w:val="24"/>
        </w:rPr>
        <w:t xml:space="preserve">обхідні для встановлення та витрати на них, Учаснику необхідно передбачити та внести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Учасник може за домовленістю із замовником відвідати об’єкт де планується встановлення перегородок, провести обстеження відповідні заміри та уточнення щодо даної закупівлі.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9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9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94"/>
        <w:tblW w:w="9634" w:type="dxa"/>
        <w:tblLook w:val="04A0" w:firstRow="1" w:lastRow="0" w:firstColumn="1" w:lastColumn="0" w:noHBand="0" w:noVBand="1"/>
      </w:tblPr>
      <w:tblGrid>
        <w:gridCol w:w="458"/>
        <w:gridCol w:w="4955"/>
        <w:gridCol w:w="2095"/>
        <w:gridCol w:w="2126"/>
      </w:tblGrid>
      <w:tr>
        <w:trPr/>
        <w:tc>
          <w:tcPr>
            <w:gridSpan w:val="4"/>
            <w:tcBorders>
              <w:top w:val="single" w:color="auto" w:sz="4" w:space="0"/>
              <w:left w:val="single" w:color="auto" w:sz="4" w:space="0"/>
              <w:bottom w:val="single" w:color="auto" w:sz="4" w:space="0"/>
              <w:right w:val="single" w:color="auto" w:sz="4" w:space="0"/>
            </w:tcBorders>
            <w:tcW w:w="9634"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Міжкімнатна скляна перегородка кутова (зі встановленням), </w:t>
            </w:r>
            <w:r>
              <w:rPr>
                <w:rFonts w:ascii="Times New Roman" w:hAnsi="Times New Roman" w:cs="Times New Roman"/>
                <w:i/>
                <w:iCs/>
                <w:sz w:val="24"/>
                <w:szCs w:val="24"/>
              </w:rPr>
              <w:t xml:space="preserve">у складі:</w:t>
            </w:r>
            <w:r/>
          </w:p>
        </w:tc>
      </w:tr>
      <w:tr>
        <w:trPr/>
        <w:tc>
          <w:tcPr>
            <w:tcBorders>
              <w:top w:val="single" w:color="auto" w:sz="4" w:space="0"/>
              <w:left w:val="single" w:color="auto" w:sz="4" w:space="0"/>
              <w:bottom w:val="single" w:color="auto" w:sz="4" w:space="0"/>
              <w:right w:val="single" w:color="auto" w:sz="4" w:space="0"/>
            </w:tcBorders>
            <w:tcW w:w="458" w:type="dxa"/>
            <w:textDirection w:val="lrTb"/>
            <w:noWrap w:val="false"/>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r>
            <w:r/>
          </w:p>
        </w:tc>
        <w:tc>
          <w:tcPr>
            <w:tcBorders>
              <w:top w:val="single" w:color="auto" w:sz="4" w:space="0"/>
              <w:left w:val="single" w:color="auto" w:sz="4" w:space="0"/>
              <w:bottom w:val="single" w:color="auto" w:sz="4" w:space="0"/>
              <w:right w:val="single" w:color="auto" w:sz="4" w:space="0"/>
            </w:tcBorders>
            <w:tcW w:w="4955"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2095"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212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Скло 8 мм, графіт гартоване</w:t>
            </w:r>
            <w:r/>
          </w:p>
        </w:tc>
        <w:tc>
          <w:tcPr>
            <w:tcBorders>
              <w:top w:val="single" w:color="auto" w:sz="4" w:space="0"/>
              <w:left w:val="single" w:color="auto" w:sz="4" w:space="0"/>
              <w:bottom w:val="single" w:color="auto" w:sz="4" w:space="0"/>
              <w:right w:val="single" w:color="auto" w:sz="4" w:space="0"/>
            </w:tcBorders>
            <w:tcW w:w="209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12,79</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Style w:val="719"/>
                <w:rFonts w:ascii="Times New Roman" w:hAnsi="Times New Roman" w:cs="Times New Roman"/>
                <w:sz w:val="24"/>
                <w:szCs w:val="24"/>
                <w:shd w:val="clear" w:color="auto" w:fill="ffffff"/>
              </w:rPr>
              <w:t xml:space="preserve">Система стаціонарної</w:t>
            </w:r>
            <w:r>
              <w:rPr>
                <w:rFonts w:ascii="Times New Roman" w:hAnsi="Times New Roman" w:cs="Times New Roman"/>
                <w:sz w:val="24"/>
                <w:szCs w:val="24"/>
                <w:shd w:val="clear" w:color="auto" w:fill="ffffff"/>
              </w:rPr>
              <w:br/>
            </w:r>
            <w:r>
              <w:rPr>
                <w:rStyle w:val="719"/>
                <w:rFonts w:ascii="Times New Roman" w:hAnsi="Times New Roman" w:cs="Times New Roman"/>
                <w:sz w:val="24"/>
                <w:szCs w:val="24"/>
                <w:shd w:val="clear" w:color="auto" w:fill="ffffff"/>
              </w:rPr>
              <w:t xml:space="preserve">перегородки (один шар)</w:t>
            </w:r>
            <w:r/>
          </w:p>
        </w:tc>
        <w:tc>
          <w:tcPr>
            <w:tcBorders>
              <w:top w:val="single" w:color="auto" w:sz="4" w:space="0"/>
              <w:left w:val="single" w:color="auto" w:sz="4" w:space="0"/>
              <w:bottom w:val="single" w:color="auto" w:sz="4" w:space="0"/>
              <w:right w:val="single" w:color="auto" w:sz="4" w:space="0"/>
            </w:tcBorders>
            <w:tcW w:w="209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color w:val="000000" w:themeColor="text1"/>
          <w:sz w:val="24"/>
          <w:szCs w:val="24"/>
          <w:lang w:val="ru-RU" w:eastAsia="ru-RU"/>
        </w:rPr>
      </w:pPr>
      <w:r>
        <w:rPr>
          <w:rFonts w:ascii="Times New Roman" w:hAnsi="Times New Roman" w:eastAsia="Times New Roman" w:cs="Times New Roman"/>
          <w:bCs/>
          <w:color w:val="000000" w:themeColor="text1"/>
          <w:sz w:val="24"/>
          <w:szCs w:val="24"/>
          <w:lang w:val="ru-RU" w:eastAsia="ru-RU"/>
        </w:rPr>
      </w:r>
      <w:r/>
    </w:p>
    <w:tbl>
      <w:tblPr>
        <w:tblStyle w:val="694"/>
        <w:tblW w:w="9634" w:type="dxa"/>
        <w:tblLook w:val="04A0" w:firstRow="1" w:lastRow="0" w:firstColumn="1" w:lastColumn="0" w:noHBand="0" w:noVBand="1"/>
      </w:tblPr>
      <w:tblGrid>
        <w:gridCol w:w="456"/>
        <w:gridCol w:w="4922"/>
        <w:gridCol w:w="2130"/>
        <w:gridCol w:w="2126"/>
      </w:tblGrid>
      <w:tr>
        <w:trPr/>
        <w:tc>
          <w:tcPr>
            <w:gridSpan w:val="4"/>
            <w:tcBorders>
              <w:top w:val="single" w:color="auto" w:sz="4" w:space="0"/>
              <w:left w:val="single" w:color="auto" w:sz="4" w:space="0"/>
              <w:bottom w:val="single" w:color="auto" w:sz="4" w:space="0"/>
              <w:right w:val="single" w:color="auto" w:sz="4" w:space="0"/>
            </w:tcBorders>
            <w:tcW w:w="9634"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Міжкімнатна скляна перегородка (зі встановленням), </w:t>
            </w:r>
            <w:r>
              <w:rPr>
                <w:rFonts w:ascii="Times New Roman" w:hAnsi="Times New Roman" w:cs="Times New Roman"/>
                <w:i/>
                <w:iCs/>
                <w:sz w:val="24"/>
                <w:szCs w:val="24"/>
              </w:rPr>
              <w:t xml:space="preserve">у складі:</w:t>
            </w:r>
            <w:r/>
          </w:p>
        </w:tc>
      </w:tr>
      <w:tr>
        <w:trPr/>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r>
            <w:r/>
          </w:p>
        </w:tc>
        <w:tc>
          <w:tcPr>
            <w:tcBorders>
              <w:top w:val="single" w:color="auto" w:sz="4" w:space="0"/>
              <w:left w:val="single" w:color="auto" w:sz="4" w:space="0"/>
              <w:bottom w:val="single" w:color="auto" w:sz="4" w:space="0"/>
              <w:right w:val="single" w:color="auto" w:sz="4" w:space="0"/>
            </w:tcBorders>
            <w:tcW w:w="4922"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2130"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212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Style w:val="719"/>
                <w:rFonts w:ascii="Times New Roman" w:hAnsi="Times New Roman" w:cs="Times New Roman"/>
                <w:sz w:val="24"/>
                <w:szCs w:val="24"/>
                <w:shd w:val="clear" w:color="auto" w:fill="ffffff"/>
              </w:rPr>
              <w:t xml:space="preserve">Скло 8 мм, графіт гартоване</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5,94</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Скло 5 мм, графіт гартоване</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3,78</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Style w:val="719"/>
                <w:rFonts w:ascii="Times New Roman" w:hAnsi="Times New Roman" w:cs="Times New Roman"/>
                <w:sz w:val="24"/>
                <w:szCs w:val="24"/>
                <w:shd w:val="clear" w:color="auto" w:fill="ffffff"/>
              </w:rPr>
              <w:t xml:space="preserve">Система стаціонарної</w:t>
            </w:r>
            <w:r>
              <w:rPr>
                <w:rFonts w:ascii="Times New Roman" w:hAnsi="Times New Roman" w:cs="Times New Roman"/>
                <w:sz w:val="24"/>
                <w:szCs w:val="24"/>
                <w:shd w:val="clear" w:color="auto" w:fill="ffffff"/>
              </w:rPr>
              <w:br/>
            </w:r>
            <w:r>
              <w:rPr>
                <w:rStyle w:val="719"/>
                <w:rFonts w:ascii="Times New Roman" w:hAnsi="Times New Roman" w:cs="Times New Roman"/>
                <w:sz w:val="24"/>
                <w:szCs w:val="24"/>
                <w:shd w:val="clear" w:color="auto" w:fill="ffffff"/>
              </w:rPr>
              <w:t xml:space="preserve">перегородки (один шар)</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Рама в сбор</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Style w:val="719"/>
                <w:rFonts w:ascii="Times New Roman" w:hAnsi="Times New Roman" w:cs="Times New Roman"/>
                <w:sz w:val="24"/>
                <w:szCs w:val="24"/>
                <w:shd w:val="clear" w:color="auto" w:fill="ffffff"/>
              </w:rPr>
              <w:t xml:space="preserve">Двері алюм. (подвійний</w:t>
            </w:r>
            <w:r>
              <w:rPr>
                <w:rFonts w:ascii="Times New Roman" w:hAnsi="Times New Roman" w:cs="Times New Roman"/>
                <w:sz w:val="24"/>
                <w:szCs w:val="24"/>
                <w:shd w:val="clear" w:color="auto" w:fill="ffffff"/>
              </w:rPr>
              <w:br/>
            </w:r>
            <w:r>
              <w:rPr>
                <w:rStyle w:val="719"/>
                <w:rFonts w:ascii="Times New Roman" w:hAnsi="Times New Roman" w:cs="Times New Roman"/>
                <w:sz w:val="24"/>
                <w:szCs w:val="24"/>
                <w:shd w:val="clear" w:color="auto" w:fill="ffffff"/>
              </w:rPr>
              <w:t xml:space="preserve">вітраж)</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Style w:val="719"/>
                <w:rFonts w:ascii="Times New Roman" w:hAnsi="Times New Roman" w:cs="Times New Roman"/>
                <w:sz w:val="24"/>
                <w:szCs w:val="24"/>
                <w:shd w:val="clear" w:color="auto" w:fill="ffffff"/>
              </w:rPr>
              <w:t xml:space="preserve">Циліндр ключ,</w:t>
            </w:r>
            <w:r>
              <w:rPr>
                <w:rStyle w:val="719"/>
                <w:rFonts w:ascii="Times New Roman" w:hAnsi="Times New Roman" w:cs="Times New Roman"/>
                <w:sz w:val="24"/>
                <w:szCs w:val="24"/>
              </w:rPr>
              <w:t xml:space="preserve"> </w:t>
            </w:r>
            <w:r>
              <w:rPr>
                <w:rStyle w:val="719"/>
                <w:rFonts w:ascii="Times New Roman" w:hAnsi="Times New Roman" w:cs="Times New Roman"/>
                <w:sz w:val="24"/>
                <w:szCs w:val="24"/>
                <w:shd w:val="clear" w:color="auto" w:fill="ffffff"/>
              </w:rPr>
              <w:t xml:space="preserve">Замок,</w:t>
            </w:r>
            <w:r>
              <w:rPr>
                <w:rStyle w:val="719"/>
                <w:rFonts w:ascii="Times New Roman" w:hAnsi="Times New Roman" w:cs="Times New Roman"/>
                <w:sz w:val="24"/>
                <w:szCs w:val="24"/>
              </w:rPr>
              <w:t xml:space="preserve"> </w:t>
            </w:r>
            <w:r>
              <w:rPr>
                <w:rStyle w:val="719"/>
                <w:rFonts w:ascii="Times New Roman" w:hAnsi="Times New Roman" w:cs="Times New Roman"/>
                <w:sz w:val="24"/>
                <w:szCs w:val="24"/>
                <w:shd w:val="clear" w:color="auto" w:fill="ffffff"/>
              </w:rPr>
              <w:t xml:space="preserve">Нажимний гарнітур</w:t>
            </w:r>
            <w:r/>
          </w:p>
        </w:tc>
        <w:tc>
          <w:tcPr>
            <w:tcBorders>
              <w:top w:val="single" w:color="auto" w:sz="4" w:space="0"/>
              <w:left w:val="single" w:color="auto" w:sz="4" w:space="0"/>
              <w:bottom w:val="single" w:color="auto" w:sz="4" w:space="0"/>
              <w:right w:val="single" w:color="auto" w:sz="4" w:space="0"/>
            </w:tcBorders>
            <w:tcW w:w="213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color w:val="000000" w:themeColor="text1"/>
          <w:sz w:val="24"/>
          <w:szCs w:val="24"/>
          <w:lang w:val="ru-RU" w:eastAsia="ru-RU"/>
        </w:rPr>
      </w:pPr>
      <w:r>
        <w:rPr>
          <w:rFonts w:ascii="Times New Roman" w:hAnsi="Times New Roman" w:cs="Times New Roman"/>
          <w:bCs/>
          <w:color w:val="000000" w:themeColor="text1"/>
          <w:sz w:val="24"/>
          <w:szCs w:val="24"/>
        </w:rPr>
        <w:t xml:space="preserve"> </w:t>
      </w:r>
      <w:r/>
    </w:p>
    <w:p>
      <w:pPr>
        <w:ind w:firstLine="142"/>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6010275" cy="2514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1"/>
                        <a:stretch/>
                      </pic:blipFill>
                      <pic:spPr bwMode="auto">
                        <a:xfrm>
                          <a:off x="0" y="0"/>
                          <a:ext cx="6010274" cy="2514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3.2pt;height:198.0pt;mso-wrap-distance-left:0.0pt;mso-wrap-distance-top:0.0pt;mso-wrap-distance-right:0.0pt;mso-wrap-distance-bottom:0.0pt;" stroked="f">
                <v:path textboxrect="0,0,0,0"/>
                <v:imagedata r:id="rId11" o:title=""/>
              </v:shape>
            </w:pict>
          </mc:Fallback>
        </mc:AlternateConten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206 800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двісті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тися</w:t>
      </w:r>
      <w:r>
        <w:rPr>
          <w:rFonts w:ascii="Times New Roman" w:hAnsi="Times New Roman" w:eastAsia="Times New Roman" w:cs="Times New Roman"/>
          <w:sz w:val="24"/>
          <w:szCs w:val="24"/>
          <w:lang w:eastAsia="ru-RU"/>
        </w:rPr>
        <w:t xml:space="preserve">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вісімсот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9">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36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6"/>
  </w:num>
  <w:num w:numId="2">
    <w:abstractNumId w:val="12"/>
  </w:num>
  <w:num w:numId="3">
    <w:abstractNumId w:val="6"/>
  </w:num>
  <w:num w:numId="4">
    <w:abstractNumId w:val="14"/>
  </w:num>
  <w:num w:numId="5">
    <w:abstractNumId w:val="5"/>
  </w:num>
  <w:num w:numId="6">
    <w:abstractNumId w:val="17"/>
  </w:num>
  <w:num w:numId="7">
    <w:abstractNumId w:val="8"/>
  </w:num>
  <w:num w:numId="8">
    <w:abstractNumId w:val="19"/>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0"/>
  </w:num>
  <w:num w:numId="18">
    <w:abstractNumId w:val="20"/>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7"/>
    <w:next w:val="68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9"/>
    <w:link w:val="12"/>
    <w:uiPriority w:val="9"/>
    <w:rPr>
      <w:rFonts w:ascii="Arial" w:hAnsi="Arial" w:eastAsia="Arial" w:cs="Arial"/>
      <w:sz w:val="40"/>
      <w:szCs w:val="40"/>
    </w:rPr>
  </w:style>
  <w:style w:type="character" w:styleId="15">
    <w:name w:val="Heading 2 Char"/>
    <w:basedOn w:val="689"/>
    <w:link w:val="688"/>
    <w:uiPriority w:val="9"/>
    <w:rPr>
      <w:rFonts w:ascii="Arial" w:hAnsi="Arial" w:eastAsia="Arial" w:cs="Arial"/>
      <w:sz w:val="34"/>
    </w:rPr>
  </w:style>
  <w:style w:type="paragraph" w:styleId="16">
    <w:name w:val="Heading 3"/>
    <w:basedOn w:val="687"/>
    <w:next w:val="68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9"/>
    <w:link w:val="16"/>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9"/>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9"/>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9"/>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9"/>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9"/>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9"/>
    <w:link w:val="28"/>
    <w:uiPriority w:val="9"/>
    <w:rPr>
      <w:rFonts w:ascii="Arial" w:hAnsi="Arial" w:eastAsia="Arial" w:cs="Arial"/>
      <w:i/>
      <w:iCs/>
      <w:sz w:val="21"/>
      <w:szCs w:val="21"/>
    </w:rPr>
  </w:style>
  <w:style w:type="paragraph" w:styleId="33">
    <w:name w:val="Title"/>
    <w:basedOn w:val="687"/>
    <w:next w:val="687"/>
    <w:link w:val="34"/>
    <w:uiPriority w:val="10"/>
    <w:qFormat/>
    <w:pPr>
      <w:contextualSpacing/>
      <w:spacing w:before="300" w:after="200"/>
    </w:pPr>
    <w:rPr>
      <w:sz w:val="48"/>
      <w:szCs w:val="48"/>
    </w:rPr>
  </w:style>
  <w:style w:type="character" w:styleId="34">
    <w:name w:val="Title Char"/>
    <w:basedOn w:val="689"/>
    <w:link w:val="33"/>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89"/>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7"/>
    <w:link w:val="42"/>
    <w:uiPriority w:val="99"/>
    <w:unhideWhenUsed/>
    <w:pPr>
      <w:spacing w:after="0" w:line="240" w:lineRule="auto"/>
      <w:tabs>
        <w:tab w:val="center" w:pos="7143" w:leader="none"/>
        <w:tab w:val="right" w:pos="14287" w:leader="none"/>
      </w:tabs>
    </w:pPr>
  </w:style>
  <w:style w:type="character" w:styleId="42">
    <w:name w:val="Header Char"/>
    <w:basedOn w:val="689"/>
    <w:link w:val="41"/>
    <w:uiPriority w:val="99"/>
  </w:style>
  <w:style w:type="character" w:styleId="44">
    <w:name w:val="Footer Char"/>
    <w:basedOn w:val="689"/>
    <w:link w:val="698"/>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698"/>
    <w:uiPriority w:val="99"/>
  </w:style>
  <w:style w:type="table" w:styleId="48">
    <w:name w:val="Table Grid Light"/>
    <w:basedOn w:val="6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9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9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9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9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9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9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9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9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9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9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9"/>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9"/>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rPr>
      <w:lang w:val="uk-UA"/>
    </w:rPr>
  </w:style>
  <w:style w:type="paragraph" w:styleId="688">
    <w:name w:val="Heading 2"/>
    <w:basedOn w:val="687"/>
    <w:link w:val="70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9" w:default="1">
    <w:name w:val="Default Paragraph Font"/>
    <w:uiPriority w:val="1"/>
    <w:semiHidden/>
    <w:unhideWhenUsed/>
  </w:style>
  <w:style w:type="table" w:styleId="690" w:default="1">
    <w:name w:val="Normal Table"/>
    <w:uiPriority w:val="99"/>
    <w:semiHidden/>
    <w:unhideWhenUsed/>
    <w:tblPr>
      <w:tblInd w:w="0" w:type="dxa"/>
      <w:tblCellMar>
        <w:left w:w="108" w:type="dxa"/>
        <w:top w:w="0" w:type="dxa"/>
        <w:right w:w="108" w:type="dxa"/>
        <w:bottom w:w="0" w:type="dxa"/>
      </w:tblCellMar>
    </w:tblPr>
  </w:style>
  <w:style w:type="numbering" w:styleId="691" w:default="1">
    <w:name w:val="No List"/>
    <w:uiPriority w:val="99"/>
    <w:semiHidden/>
    <w:unhideWhenUsed/>
  </w:style>
  <w:style w:type="paragraph" w:styleId="692">
    <w:name w:val="List Paragraph"/>
    <w:basedOn w:val="687"/>
    <w:link w:val="693"/>
    <w:uiPriority w:val="99"/>
    <w:qFormat/>
    <w:pPr>
      <w:contextualSpacing/>
      <w:ind w:left="720"/>
      <w:spacing w:after="200" w:line="276" w:lineRule="auto"/>
    </w:pPr>
    <w:rPr>
      <w:rFonts w:ascii="Calibri" w:hAnsi="Calibri" w:eastAsia="Calibri" w:cs="Calibri"/>
      <w:lang w:val="ru-RU" w:eastAsia="zh-CN"/>
    </w:rPr>
  </w:style>
  <w:style w:type="character" w:styleId="693" w:customStyle="1">
    <w:name w:val="Абзац списку Знак"/>
    <w:link w:val="692"/>
    <w:uiPriority w:val="99"/>
    <w:rPr>
      <w:rFonts w:ascii="Calibri" w:hAnsi="Calibri" w:eastAsia="Calibri" w:cs="Calibri"/>
      <w:lang w:eastAsia="zh-CN"/>
    </w:rPr>
  </w:style>
  <w:style w:type="table" w:styleId="694">
    <w:name w:val="Table Grid"/>
    <w:basedOn w:val="69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5" w:customStyle="1">
    <w:name w:val="Сетка таблицы2"/>
    <w:basedOn w:val="690"/>
    <w:next w:val="69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6">
    <w:name w:val="Normal (Web)"/>
    <w:basedOn w:val="687"/>
    <w:link w:val="703"/>
    <w:unhideWhenUsed/>
    <w:qFormat/>
    <w:rPr>
      <w:rFonts w:ascii="Times New Roman" w:hAnsi="Times New Roman" w:cs="Times New Roman"/>
      <w:sz w:val="24"/>
      <w:szCs w:val="24"/>
    </w:rPr>
  </w:style>
  <w:style w:type="table" w:styleId="697" w:customStyle="1">
    <w:name w:val="Сетка таблицы1"/>
    <w:basedOn w:val="690"/>
    <w:next w:val="69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8">
    <w:name w:val="Footer"/>
    <w:basedOn w:val="687"/>
    <w:link w:val="69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9" w:customStyle="1">
    <w:name w:val="Нижній колонтитул Знак"/>
    <w:basedOn w:val="689"/>
    <w:link w:val="698"/>
    <w:uiPriority w:val="99"/>
    <w:rPr>
      <w:rFonts w:ascii="Calibri" w:hAnsi="Calibri" w:eastAsia="Calibri" w:cs="Calibri"/>
      <w:lang w:eastAsia="zh-CN"/>
    </w:rPr>
  </w:style>
  <w:style w:type="paragraph" w:styleId="70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01">
    <w:name w:val="Hyperlink"/>
    <w:basedOn w:val="689"/>
    <w:uiPriority w:val="99"/>
    <w:unhideWhenUsed/>
    <w:rPr>
      <w:color w:val="0563c1" w:themeColor="hyperlink"/>
      <w:u w:val="single"/>
    </w:rPr>
  </w:style>
  <w:style w:type="character" w:styleId="702" w:customStyle="1">
    <w:name w:val="xfm_93972720"/>
    <w:basedOn w:val="689"/>
  </w:style>
  <w:style w:type="character" w:styleId="703" w:customStyle="1">
    <w:name w:val="Звичайний (веб) Знак"/>
    <w:link w:val="696"/>
    <w:qFormat/>
    <w:rPr>
      <w:rFonts w:ascii="Times New Roman" w:hAnsi="Times New Roman" w:cs="Times New Roman"/>
      <w:sz w:val="24"/>
      <w:szCs w:val="24"/>
      <w:lang w:val="uk-UA"/>
    </w:rPr>
  </w:style>
  <w:style w:type="paragraph" w:styleId="704">
    <w:name w:val="Body Text 2"/>
    <w:basedOn w:val="687"/>
    <w:link w:val="705"/>
    <w:pPr>
      <w:spacing w:after="0" w:line="240" w:lineRule="auto"/>
    </w:pPr>
    <w:rPr>
      <w:rFonts w:ascii="Times New Roman" w:hAnsi="Times New Roman" w:eastAsia="Times New Roman" w:cs="Times New Roman"/>
      <w:sz w:val="28"/>
      <w:szCs w:val="20"/>
      <w:lang w:val="ru-RU" w:eastAsia="ru-RU"/>
    </w:rPr>
  </w:style>
  <w:style w:type="character" w:styleId="705" w:customStyle="1">
    <w:name w:val="Основний текст 2 Знак"/>
    <w:basedOn w:val="689"/>
    <w:link w:val="704"/>
    <w:rPr>
      <w:rFonts w:ascii="Times New Roman" w:hAnsi="Times New Roman" w:eastAsia="Times New Roman" w:cs="Times New Roman"/>
      <w:sz w:val="28"/>
      <w:szCs w:val="20"/>
      <w:lang w:eastAsia="ru-RU"/>
    </w:rPr>
  </w:style>
  <w:style w:type="paragraph" w:styleId="70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7" w:customStyle="1">
    <w:name w:val="Заголовок 2 Знак"/>
    <w:basedOn w:val="689"/>
    <w:link w:val="688"/>
    <w:uiPriority w:val="9"/>
    <w:rPr>
      <w:rFonts w:ascii="Times New Roman" w:hAnsi="Times New Roman" w:eastAsia="Times New Roman" w:cs="Times New Roman"/>
      <w:b/>
      <w:bCs/>
      <w:sz w:val="36"/>
      <w:szCs w:val="36"/>
      <w:lang w:val="uk-UA" w:eastAsia="uk-UA"/>
    </w:rPr>
  </w:style>
  <w:style w:type="paragraph" w:styleId="708">
    <w:name w:val="No Spacing"/>
    <w:link w:val="709"/>
    <w:uiPriority w:val="1"/>
    <w:qFormat/>
    <w:pPr>
      <w:spacing w:after="0" w:line="240" w:lineRule="auto"/>
    </w:pPr>
    <w:rPr>
      <w:rFonts w:ascii="Calibri" w:hAnsi="Calibri" w:eastAsia="Calibri" w:cs="Times New Roman"/>
      <w:lang w:val="uk-UA"/>
    </w:rPr>
  </w:style>
  <w:style w:type="character" w:styleId="709" w:customStyle="1">
    <w:name w:val="Без інтервалів Знак"/>
    <w:basedOn w:val="689"/>
    <w:link w:val="708"/>
    <w:uiPriority w:val="1"/>
    <w:rPr>
      <w:rFonts w:ascii="Calibri" w:hAnsi="Calibri" w:eastAsia="Calibri" w:cs="Times New Roman"/>
      <w:lang w:val="uk-UA"/>
    </w:rPr>
  </w:style>
  <w:style w:type="character" w:styleId="710" w:customStyle="1">
    <w:name w:val="Другое_"/>
    <w:basedOn w:val="689"/>
    <w:link w:val="711"/>
    <w:rPr>
      <w:rFonts w:ascii="Calibri" w:hAnsi="Calibri" w:eastAsia="Calibri" w:cs="Calibri"/>
      <w:sz w:val="20"/>
      <w:szCs w:val="20"/>
    </w:rPr>
  </w:style>
  <w:style w:type="paragraph" w:styleId="711" w:customStyle="1">
    <w:name w:val="Другое"/>
    <w:basedOn w:val="687"/>
    <w:link w:val="710"/>
    <w:qFormat/>
    <w:pPr>
      <w:spacing w:after="0" w:line="240" w:lineRule="auto"/>
      <w:widowControl w:val="off"/>
    </w:pPr>
    <w:rPr>
      <w:rFonts w:ascii="Calibri" w:hAnsi="Calibri" w:eastAsia="Calibri" w:cs="Calibri"/>
      <w:sz w:val="20"/>
      <w:szCs w:val="20"/>
      <w:lang w:val="ru-RU"/>
    </w:rPr>
  </w:style>
  <w:style w:type="paragraph" w:styleId="71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3" w:customStyle="1">
    <w:name w:val="Основной текст (2)_"/>
    <w:basedOn w:val="689"/>
    <w:link w:val="714"/>
    <w:rPr>
      <w:rFonts w:eastAsia="Times New Roman" w:cs="Times New Roman"/>
      <w:shd w:val="clear" w:color="auto" w:fill="ffffff"/>
    </w:rPr>
  </w:style>
  <w:style w:type="paragraph" w:styleId="714" w:customStyle="1">
    <w:name w:val="Основной текст (2)"/>
    <w:basedOn w:val="687"/>
    <w:link w:val="713"/>
    <w:pPr>
      <w:ind w:hanging="700"/>
      <w:jc w:val="both"/>
      <w:spacing w:before="240" w:after="480" w:line="0" w:lineRule="atLeast"/>
      <w:shd w:val="clear" w:color="auto" w:fill="ffffff"/>
      <w:widowControl w:val="off"/>
    </w:pPr>
    <w:rPr>
      <w:rFonts w:eastAsia="Times New Roman" w:cs="Times New Roman"/>
      <w:lang w:val="ru-RU"/>
    </w:rPr>
  </w:style>
  <w:style w:type="character" w:styleId="715" w:customStyle="1">
    <w:name w:val="Текст у виносці Знак"/>
    <w:basedOn w:val="689"/>
    <w:link w:val="716"/>
    <w:uiPriority w:val="99"/>
    <w:semiHidden/>
    <w:rPr>
      <w:rFonts w:ascii="Segoe UI" w:hAnsi="Segoe UI" w:eastAsia="Times New Roman" w:cs="Segoe UI"/>
      <w:sz w:val="18"/>
      <w:szCs w:val="18"/>
      <w:lang w:eastAsia="ru-RU"/>
    </w:rPr>
  </w:style>
  <w:style w:type="paragraph" w:styleId="716">
    <w:name w:val="Balloon Text"/>
    <w:basedOn w:val="687"/>
    <w:link w:val="71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7" w:customStyle="1">
    <w:name w:val="Текст у виносці Знак1"/>
    <w:basedOn w:val="689"/>
    <w:uiPriority w:val="99"/>
    <w:semiHidden/>
    <w:rPr>
      <w:rFonts w:ascii="Segoe UI" w:hAnsi="Segoe UI" w:cs="Segoe UI"/>
      <w:sz w:val="18"/>
      <w:szCs w:val="18"/>
      <w:lang w:val="uk-UA"/>
    </w:rPr>
  </w:style>
  <w:style w:type="character" w:styleId="718" w:customStyle="1">
    <w:name w:val="T23"/>
    <w:rPr>
      <w:rFonts w:hint="default" w:ascii="Times New Roman" w:hAnsi="Times New Roman" w:eastAsia="Times New Roman1" w:cs="Times New Roman"/>
    </w:rPr>
  </w:style>
  <w:style w:type="character" w:styleId="719" w:customStyle="1">
    <w:name w:val="markedcontent"/>
    <w:basedOn w:val="68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143</cp:revision>
  <dcterms:created xsi:type="dcterms:W3CDTF">2022-11-01T12:47:00Z</dcterms:created>
  <dcterms:modified xsi:type="dcterms:W3CDTF">2023-09-25T06:23:35Z</dcterms:modified>
</cp:coreProperties>
</file>