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20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Технічний нагляд за виконанням робіт на об’єкті:</w:t>
      </w:r>
      <w:r>
        <w:rPr>
          <w:b w:val="0"/>
          <w:bCs w:val="0"/>
          <w:sz w:val="24"/>
          <w:szCs w:val="24"/>
        </w:rPr>
        <w:t xml:space="preserve"> «Капітальний ремонт будівлі закритого складу літ. «М», м. Київ, вул. Волинська, 26» за кодом CPV за ЄЗС ДК 021:2015:</w:t>
      </w:r>
      <w:r>
        <w:rPr>
          <w:b w:val="0"/>
          <w:bCs w:val="0"/>
          <w:color w:val="000000"/>
          <w:sz w:val="24"/>
          <w:szCs w:val="24"/>
        </w:rPr>
        <w:t xml:space="preserve"> 71240000-2 «Архітектурні, інженерні та планувальні послуги»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000660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Технічний нагляд за виконанням робіт на об’єкті:</w:t>
      </w:r>
      <w:r>
        <w:rPr>
          <w:rFonts w:ascii="Times New Roman" w:hAnsi="Times New Roman" w:cs="Times New Roman"/>
          <w:sz w:val="24"/>
          <w:szCs w:val="24"/>
        </w:rPr>
        <w:t xml:space="preserve"> «Капітальний ремонт будівлі закритого складу літ. «М», м. Київ, вул. Волинська, 26» за кодом CPV за ЄЗС ДК 021:2015: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71240000-2 «Архітектурні, інженерні та планувальні послуги»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/>
      <w:bookmarkEnd w:id="0"/>
      <w:r/>
    </w:p>
    <w:p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</w:r>
      <w:r/>
    </w:p>
    <w:p>
      <w:pPr>
        <w:pStyle w:val="765"/>
        <w:jc w:val="center"/>
        <w:rPr>
          <w:b/>
          <w:sz w:val="28"/>
          <w:szCs w:val="28"/>
        </w:rPr>
      </w:pPr>
      <w:r>
        <w:rPr>
          <w:b/>
          <w:bCs/>
          <w:color w:val="000000"/>
        </w:rPr>
        <w:t xml:space="preserve">Технічний нагляд за виконанням робіт на об’єкті</w:t>
      </w:r>
      <w:r>
        <w:rPr>
          <w:b/>
          <w:bCs/>
          <w:color w:val="000000"/>
        </w:rPr>
        <w:t xml:space="preserve">:</w:t>
      </w:r>
      <w:r>
        <w:rPr>
          <w:b/>
        </w:rPr>
        <w:t xml:space="preserve"> </w:t>
      </w:r>
      <w:r>
        <w:rPr>
          <w:b/>
        </w:rPr>
        <w:t xml:space="preserve">«</w:t>
      </w:r>
      <w:r>
        <w:rPr>
          <w:b/>
        </w:rPr>
        <w:t xml:space="preserve">Капітальний ремонт будівлі закритого складу літ. «М», м. Київ, вул. Волинська, 26</w:t>
      </w:r>
      <w:r>
        <w:rPr>
          <w:b/>
        </w:rPr>
        <w:t xml:space="preserve">»</w:t>
      </w:r>
      <w:r>
        <w:rPr>
          <w:b/>
        </w:rPr>
        <w:t xml:space="preserve"> за кодом CPV за ЄЗС ДК 021:2015: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71</w:t>
      </w:r>
      <w:r>
        <w:rPr>
          <w:b/>
          <w:bCs/>
          <w:color w:val="000000"/>
        </w:rPr>
        <w:t xml:space="preserve">24</w:t>
      </w:r>
      <w:r>
        <w:rPr>
          <w:b/>
          <w:bCs/>
          <w:color w:val="000000"/>
        </w:rPr>
        <w:t xml:space="preserve">0000-</w:t>
      </w:r>
      <w:r>
        <w:rPr>
          <w:b/>
          <w:bCs/>
          <w:color w:val="000000"/>
        </w:rPr>
        <w:t xml:space="preserve">2</w:t>
      </w:r>
      <w:r>
        <w:rPr>
          <w:b/>
          <w:bCs/>
          <w:color w:val="000000"/>
        </w:rPr>
        <w:t xml:space="preserve"> «Архітектурні, інженерні та планувальні послуги»</w:t>
      </w:r>
      <w:r/>
    </w:p>
    <w:p>
      <w:pPr>
        <w:ind w:firstLine="357"/>
        <w:jc w:val="center"/>
        <w:rPr>
          <w:b/>
          <w:color w:val="000000"/>
        </w:rPr>
      </w:pPr>
      <w:r>
        <w:rPr>
          <w:b/>
          <w:color w:val="000000"/>
        </w:rPr>
      </w:r>
      <w:r/>
    </w:p>
    <w:tbl>
      <w:tblPr>
        <w:tblStyle w:val="726"/>
        <w:tblW w:w="9918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985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7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7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b/>
                <w:bCs/>
                <w:sz w:val="21"/>
                <w:szCs w:val="21"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28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Технічний нагляд за виконанням робіт на об’єкті</w:t>
            </w:r>
            <w:r>
              <w:rPr>
                <w:b/>
                <w:bCs/>
                <w:color w:val="000000"/>
              </w:rPr>
              <w:t xml:space="preserve">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«</w:t>
            </w:r>
            <w:r>
              <w:rPr>
                <w:b/>
              </w:rPr>
              <w:t xml:space="preserve">Капітальний ремонт будівлі закритого складу літ. «М», м. Київ, вул. Волинська, 26</w:t>
            </w:r>
            <w:r>
              <w:rPr>
                <w:b/>
              </w:rPr>
              <w:t xml:space="preserve">»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робота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</w:t>
            </w:r>
            <w:r/>
          </w:p>
        </w:tc>
      </w:tr>
    </w:tbl>
    <w:p>
      <w:pPr>
        <w:pStyle w:val="728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</w:r>
      <w:r/>
    </w:p>
    <w:p>
      <w:pPr>
        <w:pStyle w:val="724"/>
        <w:ind w:left="0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 РОБІТ:</w:t>
      </w:r>
      <w:r/>
    </w:p>
    <w:p>
      <w:pPr>
        <w:pStyle w:val="724"/>
        <w:ind w:left="0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Технічний нагляд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Об’єктом класу наслідків (відповідальності) – СС1 </w:t>
      </w:r>
      <w:r/>
    </w:p>
    <w:p>
      <w:pPr>
        <w:jc w:val="both"/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Ціль: </w:t>
      </w:r>
      <w:r>
        <w:rPr>
          <w:rFonts w:ascii="Times New Roman" w:hAnsi="Times New Roman" w:cs="Times New Roman"/>
          <w:sz w:val="24"/>
          <w:szCs w:val="24"/>
        </w:rPr>
        <w:t xml:space="preserve">Здійснення технічного нагляду за виконанням роб</w:t>
      </w:r>
      <w:r>
        <w:rPr>
          <w:rFonts w:ascii="Times New Roman" w:hAnsi="Times New Roman" w:cs="Times New Roman"/>
          <w:sz w:val="24"/>
          <w:szCs w:val="24"/>
        </w:rPr>
        <w:t xml:space="preserve">іт на Об’єкті у відповідності із Законом України «Про регулювання містобудівної діяльності», Порядком здійснення технічного нагляду під час будівництва об’єкта архітектури, затвердженим постановою Кабінету міністрів України від 11 липня 2007 року за № 903.</w:t>
      </w:r>
      <w:r/>
    </w:p>
    <w:p>
      <w:pPr>
        <w:jc w:val="both"/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Мета: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надання незалежної та об’єктивної оцінки технічної якості всіх будівельних робіт;</w:t>
      </w:r>
      <w:r/>
    </w:p>
    <w:p>
      <w:pPr>
        <w:jc w:val="both"/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здійснення технічного нагляду та контролю за дотриманням підрядником проектних рішень та вимог державних стандартів і правил;</w:t>
      </w:r>
      <w:r/>
    </w:p>
    <w:p>
      <w:pPr>
        <w:jc w:val="both"/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здійснення контролю за якістю та обсягами робіт, виконаних протягом усього періоду Робіт на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Об’єкті</w:t>
      </w:r>
      <w:r>
        <w:rPr>
          <w:rFonts w:ascii="Times New Roman" w:hAnsi="Times New Roman" w:cs="Times New Roman"/>
          <w:sz w:val="24"/>
          <w:szCs w:val="24"/>
        </w:rPr>
        <w:t xml:space="preserve">, як це визначено чинним законодавством України.</w:t>
      </w:r>
      <w:r/>
    </w:p>
    <w:p>
      <w:pPr>
        <w:jc w:val="both"/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Обсяг та види робіт.</w:t>
      </w:r>
      <w:r/>
    </w:p>
    <w:p>
      <w:pPr>
        <w:jc w:val="both"/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Технічний нагляд повинні здійснювати сертифіковані інженери з технічного нагляду, які мають право виконувати роботи, що є предметом закупівлі. </w:t>
      </w:r>
      <w:r/>
    </w:p>
    <w:p>
      <w:pPr>
        <w:jc w:val="both"/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Завдання:</w:t>
      </w:r>
      <w:r/>
    </w:p>
    <w:p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здійснення технічного нагляду згідно з вимо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гами «Порядку здійснення технічного нагляду під час будівництва об'єкта архітектури», затвердженого Постановою Кабінету Міністрів України від 11.07.2007 № 903, державними будівельними нормами, настановами, технічними нормами та правилами провадження робіт;</w:t>
      </w:r>
      <w:r/>
    </w:p>
    <w:p>
      <w:pPr>
        <w:contextualSpacing/>
        <w:jc w:val="both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своєчасно та якісно надавати послуги, якість яких відповідає умовам, встановленим Договором і здавати їх Замовнику у строки, в обсязі та в порядку, встановлені умовами Договору;</w:t>
      </w:r>
      <w:r/>
    </w:p>
    <w:p>
      <w:pPr>
        <w:contextualSpacing/>
        <w:jc w:val="both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здійснювати технічний нагляд за будівництвом об’єкта відповідно до вимог Договору;</w:t>
      </w:r>
      <w:r/>
    </w:p>
    <w:p>
      <w:pPr>
        <w:contextualSpacing/>
        <w:jc w:val="both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здійснювати технічний нагляд якісно та в установлені Сторонами строки згідно Календарного графіку надання послуг зі здійснення технічного нагляду ;</w:t>
      </w:r>
      <w:r/>
    </w:p>
    <w:p>
      <w:pPr>
        <w:contextualSpacing/>
        <w:jc w:val="both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перевіряти якість та відповідн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ість виконаних будівельних робіт, застосованих конструкцій, виробів, матеріалів та змонтованого обладнання, устаткування і механізмів проектним рішенням, вимогам будівельних норм, стандартів і правил, технічних умов та інших нормативних актів і документів;</w:t>
      </w:r>
      <w:r/>
    </w:p>
    <w:p>
      <w:pPr>
        <w:contextualSpacing/>
        <w:jc w:val="both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проводити разом з підрядником огляд та оцінку результатів виконаних робіт, у тому числі прихованих, і конструктивних елементів;</w:t>
      </w:r>
      <w:r/>
    </w:p>
    <w:p>
      <w:pPr>
        <w:contextualSpacing/>
        <w:jc w:val="both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інформувати підрядника про невідповідність виробів, матеріалів та обладнання вимогам нормативних документів;</w:t>
      </w:r>
      <w:r/>
    </w:p>
    <w:p>
      <w:pPr>
        <w:contextualSpacing/>
        <w:jc w:val="both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перевіряти наявність документів,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які підтверджують якісні характеристики конструкцій, виробів, матеріалів, устаткування та обладнання, що використовуються під час будівництва об’єкта: технічних паспортів, сертифікатів, документів, що відображають результати лабораторних випробувань тощо;</w:t>
      </w:r>
      <w:r/>
    </w:p>
    <w:p>
      <w:pPr>
        <w:contextualSpacing/>
        <w:jc w:val="both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зупиняти роботи: у випадках застосування конструкцій, матеріалів та виробів неналежної якості чи які не відповідають нормативним актам та документам; для оформлення актів на приховані роботи та у разі виявлення недоліків виконання будівельних робіт;</w:t>
      </w:r>
      <w:r/>
    </w:p>
    <w:p>
      <w:pPr>
        <w:contextualSpacing/>
        <w:jc w:val="both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здійснювати контроль за веденням загального журналу виконання робіт згідно зі зразком, наведеним у додатку А до ДБН А.3.1-5:2016 «Організація будівельного виробництва»;</w:t>
      </w:r>
      <w:r/>
    </w:p>
    <w:p>
      <w:pPr>
        <w:contextualSpacing/>
        <w:jc w:val="both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приймати участь у виробничих нарадах, що проводяться Замовником і стосуються виконання Послуг згідно з умовами цього Договору;</w:t>
      </w:r>
      <w:r/>
    </w:p>
    <w:p>
      <w:pPr>
        <w:contextualSpacing/>
        <w:jc w:val="both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повідомляти відповідн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ий орган державного архітектурно-будівельного контролю для вжиття заходів відповідно до законодавства та інформувати про це Замовника у разі виявлення відхилень від проектних рішень, допущених під час будівництва об'єкта, та відмови підрядника  їх усувати;</w:t>
      </w:r>
      <w:r/>
    </w:p>
    <w:p>
      <w:pPr>
        <w:contextualSpacing/>
        <w:jc w:val="both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приймати участь у проведенні перевірки органами державного нагляду та архітектурно-будівельного контролю;</w:t>
      </w:r>
      <w:r/>
    </w:p>
    <w:p>
      <w:pPr>
        <w:contextualSpacing/>
        <w:jc w:val="both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перевіряти виконання підрядником вказівок і приписів, виданих за результатами технічного нагляду, державного архітектурно-будівельного контролю та державного нагляду;</w:t>
      </w:r>
      <w:r/>
    </w:p>
    <w:p>
      <w:pPr>
        <w:contextualSpacing/>
        <w:jc w:val="both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фіксувати результати технічного нагляду за роботами на об'єкті в журналі виконання робіт із зазначенням дефектів, порушень та винних у роботах, виконаних із порушенням, а також зобов’язувати підрядника усунення виявлених дефектів і порушень;</w:t>
      </w:r>
      <w:r/>
    </w:p>
    <w:p>
      <w:pPr>
        <w:contextualSpacing/>
        <w:jc w:val="both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перевіряти та візувати акти приймання виконаних будівельних робіт, змонтованого обладнання та устаткування в частині відповідності обсягів виконаних робіт;</w:t>
      </w:r>
      <w:r/>
    </w:p>
    <w:p>
      <w:pPr>
        <w:contextualSpacing/>
        <w:jc w:val="both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брати участь у підготовці Актів на приховані роботи, приймання закінчених будівництвом об’єктів в експлуатацію;</w:t>
      </w:r>
      <w:r/>
    </w:p>
    <w:p>
      <w:pPr>
        <w:contextualSpacing/>
        <w:jc w:val="both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вести облік обсягів прийнятих будівельних робіт, а також будівельних робіт, виконаних з недоліками;</w:t>
      </w:r>
      <w:r/>
    </w:p>
    <w:p>
      <w:pPr>
        <w:contextualSpacing/>
        <w:jc w:val="both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оформлювати Акти робіт, виконаних з недоліками;</w:t>
      </w:r>
      <w:r/>
    </w:p>
    <w:p>
      <w:pPr>
        <w:contextualSpacing/>
        <w:jc w:val="both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здійснювати контроль за обліком всіх необхідних випробувань, своєчасне реагувати та перевіряти усунення усіх відхилень і невідповідностей;</w:t>
      </w:r>
      <w:r/>
    </w:p>
    <w:p>
      <w:pPr>
        <w:contextualSpacing/>
        <w:jc w:val="both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здійснювати фото та відеофіксацію окремих відповідальних конструкцій та закінчених будівельних робіт, у тому числі прихованих, визначених ДБН А.3.1-5:2016;</w:t>
      </w:r>
      <w:r/>
    </w:p>
    <w:p>
      <w:pPr>
        <w:contextualSpacing/>
        <w:jc w:val="both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своєчасно складати та надавати на перевірку Замовнику Акти приймання наданих послуг зі здійснення технічного нагляду;</w:t>
      </w:r>
      <w:r/>
    </w:p>
    <w:p>
      <w:pPr>
        <w:contextualSpacing/>
        <w:jc w:val="both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забезпечувати облік, зберігання та передачу За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мовнику документації (письмова форма/електронний документ), яка складена або отримана Виконавцем у процесі надання Послуг за Договором згідно з Переліком документації, яку Виконавець надає Замовнику після закінчення строку дії Договору або його припинення;</w:t>
      </w:r>
      <w:r/>
    </w:p>
    <w:p>
      <w:pPr>
        <w:contextualSpacing/>
        <w:jc w:val="both"/>
        <w:shd w:val="clear" w:color="auto" w:fill="ffffff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надавати Замовнику інформацію у повному обсязі про хід реалізації Договору, у тому числі у письмовій формі/електронним документом.</w:t>
      </w:r>
      <w:r/>
    </w:p>
    <w:p>
      <w:pPr>
        <w:contextualSpacing/>
        <w:jc w:val="both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840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Обсяг Робіт</w:t>
      </w:r>
      <w:r/>
    </w:p>
    <w:p>
      <w:pPr>
        <w:tabs>
          <w:tab w:val="left" w:pos="3840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W w:w="9659" w:type="dxa"/>
        <w:tblLook w:val="04A0" w:firstRow="1" w:lastRow="0" w:firstColumn="1" w:lastColumn="0" w:noHBand="0" w:noVBand="1"/>
      </w:tblPr>
      <w:tblGrid>
        <w:gridCol w:w="613"/>
        <w:gridCol w:w="1177"/>
        <w:gridCol w:w="4071"/>
        <w:gridCol w:w="617"/>
        <w:gridCol w:w="645"/>
        <w:gridCol w:w="276"/>
        <w:gridCol w:w="994"/>
        <w:gridCol w:w="276"/>
        <w:gridCol w:w="990"/>
      </w:tblGrid>
      <w:tr>
        <w:trPr>
          <w:trHeight w:val="825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Ч.ч.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Найменування робіт і витрат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8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Одиниця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виміру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8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Кількість</w:t>
            </w:r>
            <w:r/>
          </w:p>
        </w:tc>
      </w:tr>
      <w:tr>
        <w:trPr>
          <w:trHeight w:val="308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9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</w:tr>
      <w:tr>
        <w:trPr>
          <w:trHeight w:val="30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демонтажні роботи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Навантаження сміття вручну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1,39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Перевезення сміття до 15 км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1,39</w:t>
            </w:r>
            <w:r/>
          </w:p>
        </w:tc>
      </w:tr>
      <w:tr>
        <w:trPr>
          <w:trHeight w:val="7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(Демонтаж) Монтаж металоконструкцій сходів, площадок,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 огороджень (Зовнішня драбина з огородженням і оглядовим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майданчиком)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1,39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9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вікна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</w:tr>
      <w:tr>
        <w:trPr>
          <w:trHeight w:val="5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(Демонтаж) Монтаж дрібних металоконструкцій вагою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0,1 т (решітки віконні) (кількість: 129,98*0,0276)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3,587448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Знімання дерев'яних підвіконних дощок в кам'яних будівлях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38,4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Знімання засклених віконних рам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252,78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Демонтаж віконних коробок в кам'яних стінах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відбиванням штукатурки в укосах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39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9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двері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Знімання наличників (кількість: 17*5*2)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170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Знімання дверних полотен (кількість: 34,68+2,1)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36,78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Демонтаж дверних коробок в кам'яних стінах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відбиванням штукатурки в укосах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9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ворота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(Демонтаж) Монтаж дрібних металоконструкцій вагою до 1 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2,77104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Навантаження сміття вручну (кількість: 2,77+9,47+3,58)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15,82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Перевезення сміття до 15 км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15,82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Монтаж ворот шторних з приводом підняття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</w:tr>
      <w:tr>
        <w:trPr>
          <w:trHeight w:val="5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хвірток із готових глухих полотен висотою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до 2,0 м при встановлених стовпах (кількість: 2,2*1*4)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8,8</w:t>
            </w:r>
            <w:r/>
          </w:p>
        </w:tc>
      </w:tr>
      <w:tr>
        <w:trPr>
          <w:trHeight w:val="8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Заповнення віконних прорізів готовими блоками площею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до 2 м2 з металопластику в кам'яних стінах житлових 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громадських будівель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2,5</w:t>
            </w:r>
            <w:r/>
          </w:p>
        </w:tc>
      </w:tr>
      <w:tr>
        <w:trPr>
          <w:trHeight w:val="7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Заповнення віконних прорізів готовими блоками площею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до 3 м2 з металопластику  в кам'яних стінах житлових 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громадських будівель (кількість: 2,25+2,75+2,6)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7,6</w:t>
            </w:r>
            <w:r/>
          </w:p>
        </w:tc>
      </w:tr>
      <w:tr>
        <w:trPr>
          <w:trHeight w:val="10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Заповнення віконних прорізів готовими блоками площею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більше 3 м2 з металопластику в кам'яних стінах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житлових і громадських будівель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18,724+7,8+3,7875+41,25+4,545+41,6625)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117,769</w:t>
            </w:r>
            <w:r/>
          </w:p>
        </w:tc>
      </w:tr>
      <w:tr>
        <w:trPr>
          <w:trHeight w:val="8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Заповнення дверних прорізів готовими дверними блоками площею до 2 м2 з металопластику  у кам'яних стінах (кількість: 4,725+7,56)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12,285</w:t>
            </w:r>
            <w:r/>
          </w:p>
        </w:tc>
      </w:tr>
      <w:tr>
        <w:trPr>
          <w:trHeight w:val="5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Заповнення дверних прорізів готовими дверними блоками площею понад 2 до 3 м2 з металопластику  у кам'яних стінах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2,205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покрівля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прокладної пароізоляції в один шар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557</w:t>
            </w:r>
            <w:r/>
          </w:p>
        </w:tc>
      </w:tr>
      <w:tr>
        <w:trPr>
          <w:trHeight w:val="5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Теплоізоляція покриттів та перекриттів виробами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волокнистих і зернистих матеріалів насухо (кількість: 557*0,2)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111,4</w:t>
            </w:r>
            <w:r/>
          </w:p>
        </w:tc>
      </w:tr>
      <w:tr>
        <w:trPr>
          <w:trHeight w:val="5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Теплоізоляція покриттів та перекриттів виробами з пінопласту насухо (кількість: 557*0,05)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27,85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першого шару обклеювальної гідроізоляції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рулонними матеріалами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557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Покриття поверхні мастикою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-557</w:t>
            </w:r>
            <w:r/>
          </w:p>
        </w:tc>
      </w:tr>
      <w:tr>
        <w:trPr>
          <w:trHeight w:val="8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покрівель рулонних з матеріалів, що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наплавляються, із застосуванням газопламеневих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пальників, в один шар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557</w:t>
            </w:r>
            <w:r/>
          </w:p>
        </w:tc>
      </w:tr>
      <w:tr>
        <w:trPr>
          <w:trHeight w:val="5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Теплоізоляція покриттів та перекриттів виробами з пінопласту насухо (парапет) (кількість: 15,75*0,05)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0,7875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першого шару обклеювальної гідроізоляції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рулонними матеріалами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Покриття поверхні мастикою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-21</w:t>
            </w:r>
            <w:r/>
          </w:p>
        </w:tc>
      </w:tr>
      <w:tr>
        <w:trPr>
          <w:trHeight w:val="8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покрівель рулонних з матеріалів, що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наплавляються, із застосуванням газопламеневих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пальників, в один шар (парапет)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48,7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з листової сталі поясків, сандриків, підвіконних відливів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з листової сталі брандмауерів, парапетів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ковпаків над шахтами вентканалів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колпак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5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Навішування водостічних труб, колін, відливів і лійок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готових елементів (кількість: (8*4,5)+(40,6*2))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117,2</w:t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оздоблювальні роботи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Розбирання цегляних перегородок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28,5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(Демонтаж)Улаштування перегородки з ЛГК на металевому каркасі з ізоляцією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72</w:t>
            </w:r>
            <w:r/>
          </w:p>
        </w:tc>
      </w:tr>
      <w:tr>
        <w:trPr>
          <w:trHeight w:val="8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Відбивання штукатурки по цеглі та бетону зі стін та стель,  площа відбивання в одному місці більше 5 м2 (кількість: 428,9+343,7)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772,6</w:t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Розбирання облицювання стін з керамічних глазурованих плиток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54,2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Очищення вручну внутрішніх поверхонь стін від вапняної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фарби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2267,29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Розбирання покриттів підлог з керамічних плиток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15,6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Розбирання покриттів підлог з штучного паркету на рейках або шпунтованого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127,57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Розбирання цементних покриттів підлог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317,35</w:t>
            </w:r>
            <w:r/>
          </w:p>
        </w:tc>
      </w:tr>
      <w:tr>
        <w:trPr>
          <w:trHeight w:val="5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(Демонтаж) Улаштування бетонної стяжки товщиною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мм площею понад 20 м2 (кількість: 910,7+105)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1015,7</w:t>
            </w:r>
            <w:r/>
          </w:p>
        </w:tc>
      </w:tr>
      <w:tr>
        <w:trPr>
          <w:trHeight w:val="8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(Демонтаж) На кожні 5 мм зміни товщини шару стяжки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важкого бетону додавати або виключати до 100мм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910,7+105)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1015,7</w:t>
            </w:r>
            <w:r/>
          </w:p>
        </w:tc>
      </w:tr>
      <w:tr>
        <w:trPr>
          <w:trHeight w:val="7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Підготовчі і заключні роботи при різанні бетонних 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залізобетонних конструкцій настінною пилкою з алмазним кругом, монтаж і демонтаж настінної пилки на висоті до 5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переріз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Різання бетонних і залізобетонних конструкцій настінною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пилкою з алмазним кругом, глибина різа понад 250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Навантаження сміття вручну (кількість: 243,76+87,425)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331,185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Перевезення сміття до 15 км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331,185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9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Стіни зовнішні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Готування цементного розчину вручну (кількість: r4(0,008*52,32))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0,4186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Мурування зовнішніх стін в монолітно-каркасних будівлях з газобетонних блоків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52,32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9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Перегородки внутрішні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перегородок з газобетонних блоків товщиною 100 мм при висоті поверху до 4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Готування цементного розчину вручну (кількість: 0,0704*2,18)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0,153472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Підсилення цегляних стін стальними обоймами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0,828+0,048)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0,876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Грунтування металевих поверхонь за один раз грунтовкою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Фарбування металевих поґрунтованих поверхонь емаллю ПФ-115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Виготовлення балки для підсилення перекриття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0,216+0,055)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0,271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Укладання металевих балок в міжповерхових перекриттях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0,271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Грунтування металевих поверхонь за один раз грунтовкою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5,9</w:t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опалубки [знизу] і підтримуючих її конструкцій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</w:t>
            </w:r>
            <w:r/>
          </w:p>
        </w:tc>
      </w:tr>
      <w:tr>
        <w:trPr>
          <w:trHeight w:val="8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Свердління кільцевими алмазними свердлами з застосуванням охолоджувальної рідини /води/ в залізобетонних конструкціях вертикальних отворів глибиною 200 мм, діаметром 25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420</w:t>
            </w:r>
            <w:r/>
          </w:p>
        </w:tc>
      </w:tr>
      <w:tr>
        <w:trPr>
          <w:trHeight w:val="5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перекриттів безбалкових товщиною до 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мм на висоті від опорної площадки до 6 м (кількість: 5,4+5,2)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10,6</w:t>
            </w:r>
            <w:r/>
          </w:p>
        </w:tc>
      </w:tr>
      <w:tr>
        <w:trPr>
          <w:trHeight w:val="5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Укладання бетонної суміші в конструкції бетононасосами: перекриття безбалкові, площа між осями колон до 10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10,8</w:t>
            </w:r>
            <w:r/>
          </w:p>
        </w:tc>
      </w:tr>
      <w:tr>
        <w:trPr>
          <w:trHeight w:val="7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внутрішньо-майданчикові мережі електропостачання, приєднання електричних мереж від існуючої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 xml:space="preserve">електрощитової № 4 до ВРП проектного № 1; 2; 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9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L= 10+12+20+5+15+35=97мп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</w:tr>
      <w:tr>
        <w:trPr>
          <w:trHeight w:val="7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Холодне фрезерування асфальтобетонного покриття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фрезою шириною фрезерування 0,5 м при глибині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фрезерування 5 см (кількість: (10+12+20+5+15+35)х0,5)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48,5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Розбирання асфальтобетонних покриттів вручну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2,425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Розбирання щебеневих покриттів та основ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7,275</w:t>
            </w:r>
            <w:r/>
          </w:p>
        </w:tc>
      </w:tr>
      <w:tr>
        <w:trPr>
          <w:trHeight w:val="8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Навантаження сміття екскаваторами на автомобілі-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самоскиди, місткість ковша екскаватора 0,5 м3.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2,425*2,1+7,275*1,6)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16,7325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Перевезення сміття до 18 км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16,7325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9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Відновлення основ щебневих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</w:tr>
      <w:tr>
        <w:trPr>
          <w:trHeight w:val="8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одношарових основ товщиною 15 см 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щебеню фракції 40-70 мм з межею міцності на стиск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понад 98,1 МПа [1000 кг/см2]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7,275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Розробка ґрунту вручну в траншеях глибиною до 2 м 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кріплень з укосами, група ґрунту 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57,5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Засипання вручну траншей, пазух котлованів та ям,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група ґрунту 1 (раніше розробл.грунт)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53,2</w:t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Перевезення ґрунту до 18 км (кількість: (57,5-53,2)*1,6)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6,88</w:t>
            </w:r>
            <w:r/>
          </w:p>
        </w:tc>
      </w:tr>
      <w:tr>
        <w:trPr>
          <w:trHeight w:val="8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трубопроводів із поліетиленових труб, більше 2-х каналів (кількість: (4*0,010)+(3*0,012)+(3*0,020)+(3*0,005)+(3*0,015)+(3*,035))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0,301</w:t>
            </w:r>
            <w:r/>
          </w:p>
        </w:tc>
      </w:tr>
      <w:tr>
        <w:trPr>
          <w:trHeight w:val="18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Свердління кільцевими алмазними свердлами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застосуванням охолоджувальної рідини /води/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залізобетонних конструкціях горизонтальних отворів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глибиною 800 мм, діаметром 125 мм при виконанні робіт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поблизу об'єктів, що знаходяться під високою напругою,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що пов'язано з обмеженням дій працюючих вимогами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техніки безпеки (до щита № 1; 2; 3) (кількість: 3+3+3)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</w:t>
            </w:r>
            <w:r/>
          </w:p>
        </w:tc>
      </w:tr>
      <w:tr>
        <w:trPr>
          <w:trHeight w:val="133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Додавати або вилучати на кожні 10 мм зміни глибини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свердління кільцевими алмазними свердлами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застосуванням охолоджувальної рідини /води/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залізобетонних конструкціях горизонтальних отворів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діаметром 125 мм (кількість: 9х22)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198</w:t>
            </w:r>
            <w:r/>
          </w:p>
        </w:tc>
      </w:tr>
      <w:tr>
        <w:trPr>
          <w:trHeight w:val="5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постелі при одному кабелі у траншеї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(АВВГ 4*95+ АВВГ 4*70+АВВГ 4*35) (кількість: (8+120+35)-97)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66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Додавати до норми 8-142-1 на кожний наступний кабель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при улаштуванні постелі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66</w:t>
            </w:r>
            <w:r/>
          </w:p>
        </w:tc>
      </w:tr>
      <w:tr>
        <w:trPr>
          <w:trHeight w:val="5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Покривання 1-2 кабелів, прокладених у траншеї, сигнальною стрічкою (вся траса+ труба)(кількість: (8+120+35)*2)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326</w:t>
            </w:r>
            <w:r/>
          </w:p>
        </w:tc>
      </w:tr>
      <w:tr>
        <w:trPr>
          <w:trHeight w:val="8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до 35 кВ, що прокладається у готових траншеях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без покриттів, маса 1 м до 2 кг (АВВГ 4х70)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(120*2)-104)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136</w:t>
            </w:r>
            <w:r/>
          </w:p>
        </w:tc>
      </w:tr>
      <w:tr>
        <w:trPr>
          <w:trHeight w:val="5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до 35 кВ у прокладених трубах, блоках і коробах,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маса 1 м до 2 кг (АВВГ 4х70) (кількість: (12+20+5+15)х2)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104</w:t>
            </w:r>
            <w:r/>
          </w:p>
        </w:tc>
      </w:tr>
      <w:tr>
        <w:trPr>
          <w:trHeight w:val="5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до 35 кВ у прокладених трубах, блоках і коробах,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маса 1 м до 2 кг (АВВГ 4х35) (кількість: 35х2)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70</w:t>
            </w:r>
            <w:r/>
          </w:p>
        </w:tc>
      </w:tr>
      <w:tr>
        <w:trPr>
          <w:trHeight w:val="5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до 35 кВ у прокладених трубах, блоках і коробах,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маса 1 м до 3 кг (АВВГ 4х95) (кількість: 8*2)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</w:t>
            </w:r>
            <w:r/>
          </w:p>
        </w:tc>
      </w:tr>
      <w:tr>
        <w:trPr>
          <w:trHeight w:val="7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до 35 кВ, що прокладається по установлених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конструкціях і лотках з кріпленням по всій довжині, маса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1 м до 3 кг (щитова №4 АВВГ 4х95) (кількість: 6*2)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</w:t>
            </w:r>
            <w:r/>
          </w:p>
        </w:tc>
      </w:tr>
      <w:tr>
        <w:trPr>
          <w:trHeight w:val="7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до 35 кВ, що прокладається по установлених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конструкціях і лотках з кріпленням по всій довжині, маса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1 м до 3 кг (щитова ВРП АВВГ 4х95) (кількість: 10*2)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</w:t>
            </w:r>
            <w:r/>
          </w:p>
        </w:tc>
      </w:tr>
      <w:tr>
        <w:trPr>
          <w:trHeight w:val="10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до 35 кВ, що прокладається по установлених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конструкціях і лотках з кріпленням по всій довжині, маса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1 м до 2 кг (щитова №2 АВВГ 4х70 в щитов №4 нова)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(2х2)+(8х2))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</w:t>
            </w:r>
            <w:r/>
          </w:p>
        </w:tc>
      </w:tr>
      <w:tr>
        <w:trPr>
          <w:trHeight w:val="103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до 35 кВ, що прокладається по установлених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конструкціях і лотках з кріпленням по всій довжині, маса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1 м до 2 кг (щитова №4 АВВГ 4х70 ; 4х35) (кількість: (6х2)+(6х2))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</w:t>
            </w:r>
            <w:r/>
          </w:p>
        </w:tc>
      </w:tr>
      <w:tr>
        <w:trPr>
          <w:trHeight w:val="7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до 35 кВ, що прокладається по установлених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конструкціях і лотках з кріпленням по всій довжині, маса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1 м до 2 кг (щитова ВРП АВВГ 4х70 ; 4х35)(кількість: 30+30)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60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Монтаж муфти кінцевої епоксидної для кабеля напругою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до 1 кВ, переріз однієї жили до 35 мм2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Монтаж муфти кінцевої епоксидної для кабеля напругою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до 1 кВ, переріз однієї жили до 70 мм2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</w:tr>
      <w:tr>
        <w:trPr>
          <w:trHeight w:val="5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Монтаж муфти кінцевої епоксидної для кабеля напругою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до 1 кВ, переріз однієї жили до 95 мм2 (кількість: 2*2)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</w:tr>
      <w:tr>
        <w:trPr>
          <w:trHeight w:val="5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Герметизацiя проходiв при вводi кабелiв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вибухонебезпечнi примiщення (кількість: 3+3+3)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прохід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</w:t>
            </w:r>
            <w:r/>
          </w:p>
        </w:tc>
      </w:tr>
      <w:tr>
        <w:trPr>
          <w:trHeight w:val="7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Монтаж пристрою та підключення кабелів або проводів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зовнішньої мережі до апаратів та приладів ввідно-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розподільного пристрою ВРУ1-22-43, -22-44, -23-43, -23-44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пристрій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Розробка ґрунту вручну в траншеях глибиною до 2 м 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кріплень з укосами, група ґрунту 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4,48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Засипання вручну траншей, пазух котлованів та ям,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група ґрунту 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4,48</w:t>
            </w:r>
            <w:r/>
          </w:p>
        </w:tc>
      </w:tr>
      <w:tr>
        <w:trPr>
          <w:trHeight w:val="5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Заземлювач горизонтальний у траншеї зі сталі штабової,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переріз 160 мм2 (кількість: 20+20)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</w:t>
            </w:r>
            <w:r/>
          </w:p>
        </w:tc>
      </w:tr>
      <w:tr>
        <w:trPr>
          <w:trHeight w:val="5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Заземлювач вертикальний з круглої сталi дiаметром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мм (глибина 5 м) (кількість: 4+8)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</w:t>
            </w:r>
            <w:r/>
          </w:p>
        </w:tc>
      </w:tr>
      <w:tr>
        <w:trPr>
          <w:trHeight w:val="10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Провід перший одножильний або багатожильний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загальному обплетенні у прокладених трубах 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металорукавах, сумарний переріз до 35 мм2 (щитова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ВРП ПВ3 нгд 1х25 для заземлення)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</w:tr>
      <w:tr>
        <w:trPr>
          <w:trHeight w:val="8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Провід, що прокладається по сталевих конструкціях 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панелях, переріз до 35 мм2 (щитова ВРП ПВ3 нгд 1х25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для заземлення)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9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ПНР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Пристрій автоматичного введення резервного живлення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[АВР] з схемою відновлення напруги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пристрій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Вимикач автоматичний змінного струму швидкодіючий,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номінальний струм до 1000 А, напруга понад 1 кВ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</w:tr>
      <w:tr>
        <w:trPr>
          <w:trHeight w:val="103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Вимірювання опору ізоляції мегаомметром кабельних 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інших ліній, напруга до 1 кВ, призначених для передачі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електроенергії розподільним пристроям, щитам, шафам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і комутаційним апаратам (кількість: 2+2+2)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лінія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</w:tr>
      <w:tr>
        <w:trPr>
          <w:trHeight w:val="5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Фазування електричної лінії або трансформатора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мережею, напруга до 1 кВ (кількість: 4*6)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фазув-ня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80" w:type="dxa"/>
            <w:vAlign w:val="bottom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Монтажні роботи. Вентиляція і кондиціювання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Монтаж зовнішнього блоку 33кВт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кронштейнів під устаткування (кількість: 80*2)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віброізоляторів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внутрішного блоку кондиціонера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4+4+2+2)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розгалуджувачів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Монтаж пультів керування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пленум-боксів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1,18*8+1,34*8+1,36*4)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25,6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Трубопроводи з мідних труб, діаметр зовнішній 18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40,69+61,16+111,50+31,40)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244,75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Трубопроводи з мідних труб, діаметр зовнішній 28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13,66+86,91)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100,57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Ізоляція трубопроводів трубками зі спіненого каучуку,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поліетилену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345,32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Прокладання дренажних трубопроводів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20+30+38)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Гідравлічне випробування мідних трубопроводів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345,32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сифонів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Прокладання гофри з кріпленням накладними скобами,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діаметр до 25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172,66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у прокладених трубах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172,66</w:t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повітроводів гнучких (кількість: 52+54+5+5)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116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клапанів повітряних, діаметром до 250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38+4)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42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Припливно-витяжна установка ПВ1 Aerostart DSV (б/з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071120231)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камеpа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Комплект автоматики ПВ1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Монтаж датчиків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комплект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Підключення проводів і жил електричних кабелів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приладів і засобів автоматизації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кінц.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Монтаж пультів керування, регуляторів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повітроводів гнучких (кількість: 26+25)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</w:t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пленум-боксів (кількість: 12*0,74+12*1,12)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22,32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клапанів повітряних, діаметром до 250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12+12)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Припливно-витяжна установка ПВ2 Aerostart DSV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камеpа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Комплект автоматики ПВ2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Монтаж датчиків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комплект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Підключення проводів і жил електричних кабелів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приладів і засобів автоматизації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кінц.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Монтаж пультів керування, регуляторів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вентилятора припливного П1 250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кронштейнів під устаткування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калориферів електричних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фільтрів повітряних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фільтр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клапанів зворотних діаметром 250мм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клапан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Регулятор швидкості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5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Прокладання гофри з кріпленням накладними скобами,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діаметр до 25 мм (кількість: 20+26+40+40+40)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у прокладених трубах (кількість: 20+26+40+40+40)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вентилятора витяжного В1 200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кронштейнів під устаткування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3,5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повітроводів гнучких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анемостатів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вентилятора витяжного В2 125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кронштейнів під устаткування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клапанів зворотних діаметром 125мм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клапан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вентилятора витяжного В2 125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кронштейнів під устаткування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анемостатів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клапанів зворотних діаметром 125мм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клапан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грат жалюзійних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грати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Прокладання повітроводів з оцинкованої сталі 0,5мм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70,8+12+6+15+10)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113,8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Прокладання фасонних виробів з оцинкованої сталі 0,5мм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47,2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Прокладання повітроводів з оцинкованої сталі 0,7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177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Прокладання фасонних виробів з оцинкованої сталі 0,7мм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Ізоляція каучукова самоклеюча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183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Ізоляція повітроводів вогнетривка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125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Нанесення вручну в один шар клею на горизонтальні 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вертикальні поверхні сталевих повітроводів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125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клапанів вогнезатримуючих з електроприводом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клапан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54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54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93 770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дев’яносто три тисячі сімсот сімдесят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36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928" w:hanging="360"/>
      </w:pPr>
      <w:rPr>
        <w:rFonts w:ascii="Times New Roman" w:hAnsi="Times New Roman" w:eastAsia="Calibri" w:cs="Times New Roman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6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7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7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51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84" w:hanging="180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ascii="Times New Roman" w:hAnsi="Times New Roman" w:eastAsia="Times New Roman" w:cs="Times New Roman"/>
        <w:sz w:val="24"/>
      </w:rPr>
    </w:lvl>
    <w:lvl w:ilvl="1">
      <w:start w:val="2"/>
      <w:numFmt w:val="decimal"/>
      <w:isLgl/>
      <w:suff w:val="tab"/>
      <w:lvlText w:val="%1.%2."/>
      <w:lvlJc w:val="left"/>
      <w:pPr>
        <w:ind w:left="1188" w:hanging="468"/>
      </w:pPr>
      <w:rPr>
        <w:rFonts w:hint="default"/>
        <w:sz w:val="24"/>
        <w:szCs w:val="24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1"/>
  </w:num>
  <w:num w:numId="2">
    <w:abstractNumId w:val="18"/>
  </w:num>
  <w:num w:numId="3">
    <w:abstractNumId w:val="6"/>
  </w:num>
  <w:num w:numId="4">
    <w:abstractNumId w:val="25"/>
  </w:num>
  <w:num w:numId="5">
    <w:abstractNumId w:val="5"/>
  </w:num>
  <w:num w:numId="6">
    <w:abstractNumId w:val="32"/>
  </w:num>
  <w:num w:numId="7">
    <w:abstractNumId w:val="10"/>
  </w:num>
  <w:num w:numId="8">
    <w:abstractNumId w:val="34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3"/>
  </w:num>
  <w:num w:numId="17">
    <w:abstractNumId w:val="0"/>
  </w:num>
  <w:num w:numId="18">
    <w:abstractNumId w:val="36"/>
  </w:num>
  <w:num w:numId="19">
    <w:abstractNumId w:val="2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7"/>
  </w:num>
  <w:num w:numId="25">
    <w:abstractNumId w:val="19"/>
  </w:num>
  <w:num w:numId="26">
    <w:abstractNumId w:val="23"/>
  </w:num>
  <w:num w:numId="27">
    <w:abstractNumId w:val="29"/>
  </w:num>
  <w:num w:numId="28">
    <w:abstractNumId w:val="21"/>
  </w:num>
  <w:num w:numId="29">
    <w:abstractNumId w:val="30"/>
  </w:num>
  <w:num w:numId="30">
    <w:abstractNumId w:val="16"/>
  </w:num>
  <w:num w:numId="31">
    <w:abstractNumId w:val="2"/>
  </w:num>
  <w:num w:numId="32">
    <w:abstractNumId w:val="35"/>
  </w:num>
  <w:num w:numId="33">
    <w:abstractNumId w:val="1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9"/>
    <w:next w:val="71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21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21"/>
    <w:link w:val="720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9"/>
    <w:next w:val="71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2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9"/>
    <w:next w:val="71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2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9"/>
    <w:next w:val="71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2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9"/>
    <w:next w:val="71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9"/>
    <w:next w:val="71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9"/>
    <w:next w:val="71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9"/>
    <w:next w:val="71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19"/>
    <w:next w:val="71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21"/>
    <w:link w:val="33"/>
    <w:uiPriority w:val="10"/>
    <w:rPr>
      <w:sz w:val="48"/>
      <w:szCs w:val="48"/>
    </w:rPr>
  </w:style>
  <w:style w:type="paragraph" w:styleId="35">
    <w:name w:val="Subtitle"/>
    <w:basedOn w:val="719"/>
    <w:next w:val="71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21"/>
    <w:link w:val="35"/>
    <w:uiPriority w:val="11"/>
    <w:rPr>
      <w:sz w:val="24"/>
      <w:szCs w:val="24"/>
    </w:rPr>
  </w:style>
  <w:style w:type="paragraph" w:styleId="37">
    <w:name w:val="Quote"/>
    <w:basedOn w:val="719"/>
    <w:next w:val="71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9"/>
    <w:next w:val="71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21"/>
    <w:link w:val="762"/>
    <w:uiPriority w:val="99"/>
  </w:style>
  <w:style w:type="character" w:styleId="44">
    <w:name w:val="Footer Char"/>
    <w:basedOn w:val="721"/>
    <w:link w:val="730"/>
    <w:uiPriority w:val="99"/>
  </w:style>
  <w:style w:type="paragraph" w:styleId="45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30"/>
    <w:uiPriority w:val="99"/>
  </w:style>
  <w:style w:type="table" w:styleId="48">
    <w:name w:val="Table Grid Light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21"/>
    <w:uiPriority w:val="99"/>
    <w:unhideWhenUsed/>
    <w:rPr>
      <w:vertAlign w:val="superscript"/>
    </w:rPr>
  </w:style>
  <w:style w:type="paragraph" w:styleId="177">
    <w:name w:val="endnote text"/>
    <w:basedOn w:val="71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1"/>
    <w:uiPriority w:val="99"/>
    <w:semiHidden/>
    <w:unhideWhenUsed/>
    <w:rPr>
      <w:vertAlign w:val="superscript"/>
    </w:rPr>
  </w:style>
  <w:style w:type="paragraph" w:styleId="180">
    <w:name w:val="toc 1"/>
    <w:basedOn w:val="719"/>
    <w:next w:val="71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9"/>
    <w:next w:val="71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qFormat/>
    <w:rPr>
      <w:lang w:val="uk-UA"/>
    </w:rPr>
  </w:style>
  <w:style w:type="paragraph" w:styleId="720">
    <w:name w:val="Heading 2"/>
    <w:basedOn w:val="719"/>
    <w:link w:val="73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paragraph" w:styleId="724">
    <w:name w:val="List Paragraph"/>
    <w:basedOn w:val="719"/>
    <w:link w:val="725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25" w:customStyle="1">
    <w:name w:val="Абзац списку Знак"/>
    <w:link w:val="724"/>
    <w:uiPriority w:val="99"/>
    <w:qFormat/>
    <w:rPr>
      <w:rFonts w:ascii="Calibri" w:hAnsi="Calibri" w:eastAsia="Calibri" w:cs="Calibri"/>
      <w:lang w:eastAsia="zh-CN"/>
    </w:rPr>
  </w:style>
  <w:style w:type="table" w:styleId="726">
    <w:name w:val="Table Grid"/>
    <w:basedOn w:val="72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7" w:customStyle="1">
    <w:name w:val="Сетка таблицы2"/>
    <w:basedOn w:val="722"/>
    <w:next w:val="72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8">
    <w:name w:val="Normal (Web)"/>
    <w:basedOn w:val="719"/>
    <w:link w:val="735"/>
    <w:unhideWhenUsed/>
    <w:qFormat/>
    <w:rPr>
      <w:rFonts w:ascii="Times New Roman" w:hAnsi="Times New Roman" w:cs="Times New Roman"/>
      <w:sz w:val="24"/>
      <w:szCs w:val="24"/>
    </w:rPr>
  </w:style>
  <w:style w:type="table" w:styleId="729" w:customStyle="1">
    <w:name w:val="Сетка таблицы1"/>
    <w:basedOn w:val="722"/>
    <w:next w:val="72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0">
    <w:name w:val="Footer"/>
    <w:basedOn w:val="719"/>
    <w:link w:val="73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31" w:customStyle="1">
    <w:name w:val="Нижній колонтитул Знак"/>
    <w:basedOn w:val="721"/>
    <w:link w:val="730"/>
    <w:uiPriority w:val="99"/>
    <w:rPr>
      <w:rFonts w:ascii="Calibri" w:hAnsi="Calibri" w:eastAsia="Calibri" w:cs="Calibri"/>
      <w:lang w:eastAsia="zh-CN"/>
    </w:rPr>
  </w:style>
  <w:style w:type="paragraph" w:styleId="73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33">
    <w:name w:val="Hyperlink"/>
    <w:basedOn w:val="721"/>
    <w:uiPriority w:val="99"/>
    <w:unhideWhenUsed/>
    <w:rPr>
      <w:color w:val="0563c1" w:themeColor="hyperlink"/>
      <w:u w:val="single"/>
    </w:rPr>
  </w:style>
  <w:style w:type="character" w:styleId="734" w:customStyle="1">
    <w:name w:val="xfm_93972720"/>
    <w:basedOn w:val="721"/>
  </w:style>
  <w:style w:type="character" w:styleId="735" w:customStyle="1">
    <w:name w:val="Звичайний (веб) Знак"/>
    <w:link w:val="728"/>
    <w:qFormat/>
    <w:rPr>
      <w:rFonts w:ascii="Times New Roman" w:hAnsi="Times New Roman" w:cs="Times New Roman"/>
      <w:sz w:val="24"/>
      <w:szCs w:val="24"/>
      <w:lang w:val="uk-UA"/>
    </w:rPr>
  </w:style>
  <w:style w:type="paragraph" w:styleId="736">
    <w:name w:val="Body Text 2"/>
    <w:basedOn w:val="719"/>
    <w:link w:val="73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37" w:customStyle="1">
    <w:name w:val="Основний текст 2 Знак"/>
    <w:basedOn w:val="721"/>
    <w:link w:val="73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39" w:customStyle="1">
    <w:name w:val="Заголовок 2 Знак"/>
    <w:basedOn w:val="721"/>
    <w:link w:val="720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40">
    <w:name w:val="No Spacing"/>
    <w:link w:val="74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41" w:customStyle="1">
    <w:name w:val="Без інтервалів Знак"/>
    <w:basedOn w:val="721"/>
    <w:link w:val="740"/>
    <w:uiPriority w:val="1"/>
    <w:rPr>
      <w:rFonts w:ascii="Calibri" w:hAnsi="Calibri" w:eastAsia="Calibri" w:cs="Times New Roman"/>
      <w:lang w:val="uk-UA"/>
    </w:rPr>
  </w:style>
  <w:style w:type="character" w:styleId="742" w:customStyle="1">
    <w:name w:val="Другое_"/>
    <w:basedOn w:val="721"/>
    <w:link w:val="743"/>
    <w:rPr>
      <w:rFonts w:ascii="Calibri" w:hAnsi="Calibri" w:eastAsia="Calibri" w:cs="Calibri"/>
      <w:sz w:val="20"/>
      <w:szCs w:val="20"/>
    </w:rPr>
  </w:style>
  <w:style w:type="paragraph" w:styleId="743" w:customStyle="1">
    <w:name w:val="Другое"/>
    <w:basedOn w:val="719"/>
    <w:link w:val="742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44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45" w:customStyle="1">
    <w:name w:val="Основной текст (2)_"/>
    <w:basedOn w:val="721"/>
    <w:link w:val="746"/>
    <w:rPr>
      <w:rFonts w:eastAsia="Times New Roman" w:cs="Times New Roman"/>
      <w:shd w:val="clear" w:color="auto" w:fill="ffffff"/>
    </w:rPr>
  </w:style>
  <w:style w:type="paragraph" w:styleId="746" w:customStyle="1">
    <w:name w:val="Основной текст (2)"/>
    <w:basedOn w:val="719"/>
    <w:link w:val="745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47" w:customStyle="1">
    <w:name w:val="Текст у виносці Знак"/>
    <w:basedOn w:val="721"/>
    <w:link w:val="74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48">
    <w:name w:val="Balloon Text"/>
    <w:basedOn w:val="719"/>
    <w:link w:val="747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49" w:customStyle="1">
    <w:name w:val="Текст у виносці Знак1"/>
    <w:basedOn w:val="721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50" w:customStyle="1">
    <w:name w:val="T23"/>
    <w:rPr>
      <w:rFonts w:hint="default" w:ascii="Times New Roman" w:hAnsi="Times New Roman" w:eastAsia="Times New Roman1" w:cs="Times New Roman"/>
    </w:rPr>
  </w:style>
  <w:style w:type="paragraph" w:styleId="751" w:customStyle="1">
    <w:name w:val="Абзац списку1"/>
    <w:basedOn w:val="719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52" w:customStyle="1">
    <w:name w:val="markedcontent"/>
    <w:basedOn w:val="721"/>
  </w:style>
  <w:style w:type="paragraph" w:styleId="753">
    <w:name w:val="annotation text"/>
    <w:basedOn w:val="719"/>
    <w:link w:val="754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54" w:customStyle="1">
    <w:name w:val="Текст примітки Знак"/>
    <w:basedOn w:val="721"/>
    <w:link w:val="75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55">
    <w:name w:val="Body Text Indent"/>
    <w:basedOn w:val="719"/>
    <w:link w:val="756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/>
    </w:rPr>
  </w:style>
  <w:style w:type="character" w:styleId="756" w:customStyle="1">
    <w:name w:val="Основний текст з відступом Знак"/>
    <w:basedOn w:val="721"/>
    <w:link w:val="755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57">
    <w:name w:val="Body Text"/>
    <w:basedOn w:val="719"/>
    <w:link w:val="758"/>
    <w:pPr>
      <w:spacing w:after="12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58" w:customStyle="1">
    <w:name w:val="Основний текст Знак"/>
    <w:basedOn w:val="721"/>
    <w:link w:val="75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59">
    <w:name w:val="annotation reference"/>
    <w:basedOn w:val="721"/>
    <w:uiPriority w:val="99"/>
    <w:semiHidden/>
    <w:unhideWhenUsed/>
    <w:rPr>
      <w:sz w:val="16"/>
      <w:szCs w:val="16"/>
    </w:rPr>
  </w:style>
  <w:style w:type="paragraph" w:styleId="760">
    <w:name w:val="annotation subject"/>
    <w:basedOn w:val="753"/>
    <w:next w:val="753"/>
    <w:link w:val="761"/>
    <w:uiPriority w:val="99"/>
    <w:semiHidden/>
    <w:unhideWhenUsed/>
    <w:rPr>
      <w:b/>
      <w:bCs/>
    </w:rPr>
  </w:style>
  <w:style w:type="character" w:styleId="761" w:customStyle="1">
    <w:name w:val="Тема примітки Знак"/>
    <w:basedOn w:val="754"/>
    <w:link w:val="760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762">
    <w:name w:val="Header"/>
    <w:basedOn w:val="719"/>
    <w:link w:val="763"/>
    <w:uiPriority w:val="99"/>
    <w:unhideWhenUsed/>
    <w:pPr>
      <w:spacing w:after="0" w:line="240" w:lineRule="auto"/>
      <w:widowControl w:val="off"/>
      <w:tabs>
        <w:tab w:val="center" w:pos="4819" w:leader="none"/>
        <w:tab w:val="right" w:pos="9639" w:leader="none"/>
      </w:tabs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63" w:customStyle="1">
    <w:name w:val="Верхній колонтитул Знак"/>
    <w:basedOn w:val="721"/>
    <w:link w:val="76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64" w:customStyle="1">
    <w:name w:val="Неразрешенное упоминание1"/>
    <w:basedOn w:val="721"/>
    <w:uiPriority w:val="99"/>
    <w:semiHidden/>
    <w:unhideWhenUsed/>
    <w:rPr>
      <w:color w:val="605e5c"/>
      <w:shd w:val="clear" w:color="auto" w:fill="e1dfdd"/>
    </w:rPr>
  </w:style>
  <w:style w:type="paragraph" w:styleId="765" w:customStyle="1">
    <w:name w:val="tbl-txt"/>
    <w:basedOn w:val="7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66">
    <w:name w:val="FollowedHyperlink"/>
    <w:basedOn w:val="721"/>
    <w:uiPriority w:val="99"/>
    <w:semiHidden/>
    <w:unhideWhenUsed/>
    <w:rPr>
      <w:color w:val="954f72" w:themeColor="followedHyperlink"/>
      <w:u w:val="single"/>
    </w:rPr>
  </w:style>
  <w:style w:type="paragraph" w:styleId="767" w:customStyle="1">
    <w:name w:val="msonormal"/>
    <w:basedOn w:val="7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68" w:customStyle="1">
    <w:name w:val="xl63"/>
    <w:basedOn w:val="719"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69" w:customStyle="1">
    <w:name w:val="xl64"/>
    <w:basedOn w:val="719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0" w:customStyle="1">
    <w:name w:val="xl65"/>
    <w:basedOn w:val="719"/>
    <w:pPr>
      <w:jc w:val="center"/>
      <w:spacing w:before="100" w:beforeAutospacing="1" w:after="100" w:afterAutospacing="1" w:line="240" w:lineRule="auto"/>
      <w:pBdr>
        <w:left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1" w:customStyle="1">
    <w:name w:val="xl66"/>
    <w:basedOn w:val="719"/>
    <w:pPr>
      <w:jc w:val="center"/>
      <w:spacing w:before="100" w:beforeAutospacing="1" w:after="100" w:afterAutospacing="1" w:line="240" w:lineRule="auto"/>
      <w:pBdr>
        <w:left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2" w:customStyle="1">
    <w:name w:val="xl67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3" w:customStyle="1">
    <w:name w:val="xl68"/>
    <w:basedOn w:val="719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4" w:customStyle="1">
    <w:name w:val="xl69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5" w:customStyle="1">
    <w:name w:val="xl70"/>
    <w:basedOn w:val="719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6" w:customStyle="1">
    <w:name w:val="xl71"/>
    <w:basedOn w:val="719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7" w:customStyle="1">
    <w:name w:val="xl72"/>
    <w:basedOn w:val="719"/>
    <w:pPr>
      <w:jc w:val="center"/>
      <w:spacing w:before="100" w:beforeAutospacing="1" w:after="100" w:afterAutospacing="1" w:line="240" w:lineRule="auto"/>
      <w:pBdr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8" w:customStyle="1">
    <w:name w:val="xl73"/>
    <w:basedOn w:val="7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9" w:customStyle="1">
    <w:name w:val="xl74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80" w:customStyle="1">
    <w:name w:val="xl75"/>
    <w:basedOn w:val="719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81" w:customStyle="1">
    <w:name w:val="xl76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82" w:customStyle="1">
    <w:name w:val="xl77"/>
    <w:basedOn w:val="719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83" w:customStyle="1">
    <w:name w:val="xl78"/>
    <w:basedOn w:val="719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uk-UA"/>
    </w:rPr>
  </w:style>
  <w:style w:type="paragraph" w:styleId="784" w:customStyle="1">
    <w:name w:val="xl79"/>
    <w:basedOn w:val="719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uk-UA"/>
    </w:rPr>
  </w:style>
  <w:style w:type="paragraph" w:styleId="785" w:customStyle="1">
    <w:name w:val="xl80"/>
    <w:basedOn w:val="7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uk-UA"/>
    </w:rPr>
  </w:style>
  <w:style w:type="paragraph" w:styleId="786" w:customStyle="1">
    <w:name w:val="xl81"/>
    <w:basedOn w:val="719"/>
    <w:pPr>
      <w:jc w:val="center"/>
      <w:spacing w:before="100" w:beforeAutospacing="1" w:after="100" w:afterAutospacing="1" w:line="240" w:lineRule="auto"/>
      <w:pBdr>
        <w:left w:val="single" w:color="auto" w:sz="8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87" w:customStyle="1">
    <w:name w:val="xl82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88" w:customStyle="1">
    <w:name w:val="xl83"/>
    <w:basedOn w:val="719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89" w:customStyle="1">
    <w:name w:val="xl84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0" w:customStyle="1">
    <w:name w:val="xl85"/>
    <w:basedOn w:val="719"/>
    <w:pPr>
      <w:jc w:val="center"/>
      <w:spacing w:before="100" w:beforeAutospacing="1" w:after="100" w:afterAutospacing="1" w:line="240" w:lineRule="auto"/>
      <w:pBdr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1" w:customStyle="1">
    <w:name w:val="xl86"/>
    <w:basedOn w:val="719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2" w:customStyle="1">
    <w:name w:val="xl87"/>
    <w:basedOn w:val="719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3" w:customStyle="1">
    <w:name w:val="xl88"/>
    <w:basedOn w:val="719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4" w:customStyle="1">
    <w:name w:val="xl89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5" w:customStyle="1">
    <w:name w:val="xl90"/>
    <w:basedOn w:val="719"/>
    <w:pPr>
      <w:jc w:val="center"/>
      <w:spacing w:before="100" w:beforeAutospacing="1" w:after="100" w:afterAutospacing="1" w:line="240" w:lineRule="auto"/>
      <w:pBdr>
        <w:top w:val="single" w:color="auto" w:sz="4" w:space="0"/>
        <w:bottom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6" w:customStyle="1">
    <w:name w:val="xl91"/>
    <w:basedOn w:val="719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7" w:customStyle="1">
    <w:name w:val="xl92"/>
    <w:basedOn w:val="719"/>
    <w:pPr>
      <w:jc w:val="center"/>
      <w:spacing w:before="100" w:beforeAutospacing="1" w:after="100" w:afterAutospacing="1" w:line="240" w:lineRule="auto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8" w:customStyle="1">
    <w:name w:val="xl93"/>
    <w:basedOn w:val="719"/>
    <w:pPr>
      <w:jc w:val="center"/>
      <w:spacing w:before="100" w:beforeAutospacing="1" w:after="100" w:afterAutospacing="1" w:line="240" w:lineRule="auto"/>
      <w:pBdr>
        <w:top w:val="single" w:color="auto" w:sz="4" w:space="0"/>
        <w:bottom w:val="single" w:color="auto" w:sz="4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9" w:customStyle="1">
    <w:name w:val="xl94"/>
    <w:basedOn w:val="719"/>
    <w:pPr>
      <w:jc w:val="center"/>
      <w:spacing w:before="100" w:beforeAutospacing="1" w:after="100" w:afterAutospacing="1" w:line="240" w:lineRule="auto"/>
      <w:pBdr>
        <w:top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0" w:customStyle="1">
    <w:name w:val="xl95"/>
    <w:basedOn w:val="719"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1" w:customStyle="1">
    <w:name w:val="xl96"/>
    <w:basedOn w:val="719"/>
    <w:pPr>
      <w:jc w:val="center"/>
      <w:spacing w:before="100" w:beforeAutospacing="1" w:after="100" w:afterAutospacing="1" w:line="240" w:lineRule="auto"/>
      <w:pBdr>
        <w:top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2" w:customStyle="1">
    <w:name w:val="xl97"/>
    <w:basedOn w:val="719"/>
    <w:pPr>
      <w:jc w:val="center"/>
      <w:spacing w:before="100" w:beforeAutospacing="1" w:after="100" w:afterAutospacing="1" w:line="240" w:lineRule="auto"/>
      <w:pBdr>
        <w:top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3" w:customStyle="1">
    <w:name w:val="xl98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uk-UA"/>
    </w:rPr>
  </w:style>
  <w:style w:type="paragraph" w:styleId="804" w:customStyle="1">
    <w:name w:val="xl99"/>
    <w:basedOn w:val="719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uk-UA"/>
    </w:rPr>
  </w:style>
  <w:style w:type="paragraph" w:styleId="805" w:customStyle="1">
    <w:name w:val="xl100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6" w:customStyle="1">
    <w:name w:val="xl101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7" w:customStyle="1">
    <w:name w:val="xl102"/>
    <w:basedOn w:val="719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8" w:customStyle="1">
    <w:name w:val="xl103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9" w:customStyle="1">
    <w:name w:val="xl104"/>
    <w:basedOn w:val="719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0" w:customStyle="1">
    <w:name w:val="xl105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1" w:customStyle="1">
    <w:name w:val="xl106"/>
    <w:basedOn w:val="719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2" w:customStyle="1">
    <w:name w:val="xl107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uk-UA"/>
    </w:rPr>
  </w:style>
  <w:style w:type="paragraph" w:styleId="813" w:customStyle="1">
    <w:name w:val="xl108"/>
    <w:basedOn w:val="719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uk-UA"/>
    </w:rPr>
  </w:style>
  <w:style w:type="paragraph" w:styleId="814" w:customStyle="1">
    <w:name w:val="xl109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5" w:customStyle="1">
    <w:name w:val="xl110"/>
    <w:basedOn w:val="719"/>
    <w:pPr>
      <w:jc w:val="center"/>
      <w:spacing w:before="100" w:beforeAutospacing="1" w:after="100" w:afterAutospacing="1" w:line="240" w:lineRule="auto"/>
      <w:pBdr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6" w:customStyle="1">
    <w:name w:val="xl111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7" w:customStyle="1">
    <w:name w:val="xl112"/>
    <w:basedOn w:val="719"/>
    <w:pPr>
      <w:jc w:val="center"/>
      <w:spacing w:before="100" w:beforeAutospacing="1" w:after="100" w:afterAutospacing="1" w:line="240" w:lineRule="auto"/>
      <w:pBdr>
        <w:bottom w:val="single" w:color="auto" w:sz="4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8" w:customStyle="1">
    <w:name w:val="xl113"/>
    <w:basedOn w:val="719"/>
    <w:pPr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9" w:customStyle="1">
    <w:name w:val="xl114"/>
    <w:basedOn w:val="719"/>
    <w:pPr>
      <w:jc w:val="center"/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146</cp:revision>
  <dcterms:created xsi:type="dcterms:W3CDTF">2022-11-01T12:47:00Z</dcterms:created>
  <dcterms:modified xsi:type="dcterms:W3CDTF">2023-12-13T21:43:05Z</dcterms:modified>
</cp:coreProperties>
</file>