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lang w:eastAsia="ru-RU"/>
        </w:rPr>
        <w:t xml:space="preserve">Закупівля обладнання та матеріалів для дообладнання існуючої системи контролю доступу та відеоспостереження ДУ ЦІТ МВС України зі встановленням за кодом CPV за ЄЗС ДК 021:2015 – 35120000-1 Системи та пристрої нагляду та охорони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2371</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eastAsia="ru-RU"/>
        </w:rPr>
        <w:t xml:space="preserve">Закупівля обладнання та матеріалів для дообладнання існуючої системи контролю доступу та відеоспостереження ДУ ЦІТ МВС України зі встановленням за кодом CPV за ЄЗС ДК 021:2015 – 35120000-1 Системи та пристрої нагляду та охорони</w:t>
      </w:r>
      <w:r>
        <w:rPr>
          <w:rFonts w:ascii="Times New Roman" w:hAnsi="Times New Roman" w:cs="Times New Roman"/>
          <w:bCs/>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tbl>
      <w:tblPr>
        <w:tblStyle w:val="728"/>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0"/>
              <w:jc w:val="center"/>
              <w:rPr>
                <w:b/>
                <w:bCs/>
              </w:rPr>
            </w:pPr>
            <w:r>
              <w:rPr>
                <w:b/>
                <w:bCs/>
              </w:rPr>
              <w:t xml:space="preserve">№ п/п</w:t>
            </w:r>
            <w:r/>
          </w:p>
        </w:tc>
        <w:tc>
          <w:tcPr>
            <w:tcW w:w="5670" w:type="dxa"/>
            <w:textDirection w:val="lrTb"/>
            <w:noWrap w:val="false"/>
          </w:tcPr>
          <w:p>
            <w:pPr>
              <w:pStyle w:val="730"/>
              <w:jc w:val="center"/>
              <w:rPr>
                <w:b/>
                <w:bCs/>
              </w:rPr>
            </w:pPr>
            <w:r>
              <w:rPr>
                <w:b/>
                <w:bCs/>
              </w:rPr>
              <w:t xml:space="preserve">Назва системи</w:t>
            </w:r>
            <w:r/>
          </w:p>
        </w:tc>
        <w:tc>
          <w:tcPr>
            <w:tcW w:w="1701" w:type="dxa"/>
            <w:textDirection w:val="lrTb"/>
            <w:noWrap w:val="false"/>
          </w:tcPr>
          <w:p>
            <w:pPr>
              <w:pStyle w:val="730"/>
              <w:jc w:val="center"/>
              <w:rPr>
                <w:b/>
                <w:bCs/>
              </w:rPr>
            </w:pPr>
            <w:r>
              <w:rPr>
                <w:b/>
                <w:bCs/>
              </w:rPr>
              <w:t xml:space="preserve">Одиниця виміру</w:t>
            </w:r>
            <w:r/>
          </w:p>
        </w:tc>
        <w:tc>
          <w:tcPr>
            <w:tcW w:w="1701" w:type="dxa"/>
            <w:textDirection w:val="lrTb"/>
            <w:noWrap w:val="false"/>
          </w:tcPr>
          <w:p>
            <w:pPr>
              <w:pStyle w:val="730"/>
              <w:jc w:val="center"/>
              <w:rPr>
                <w:b/>
                <w:bCs/>
              </w:rPr>
            </w:pPr>
            <w:r>
              <w:rPr>
                <w:b/>
                <w:bCs/>
              </w:rPr>
              <w:t xml:space="preserve">Кількість</w:t>
            </w:r>
            <w:r/>
          </w:p>
        </w:tc>
      </w:tr>
      <w:tr>
        <w:trPr/>
        <w:tc>
          <w:tcPr>
            <w:tcW w:w="562" w:type="dxa"/>
            <w:textDirection w:val="lrTb"/>
            <w:noWrap w:val="false"/>
          </w:tcPr>
          <w:p>
            <w:pPr>
              <w:pStyle w:val="730"/>
              <w:jc w:val="center"/>
              <w:rPr>
                <w:b/>
                <w:bCs/>
              </w:rPr>
            </w:pPr>
            <w:r>
              <w:rPr>
                <w:b/>
                <w:bCs/>
              </w:rPr>
              <w:t xml:space="preserve">1</w:t>
            </w:r>
            <w:r/>
          </w:p>
        </w:tc>
        <w:tc>
          <w:tcPr>
            <w:tcW w:w="5670" w:type="dxa"/>
            <w:textDirection w:val="lrTb"/>
            <w:noWrap w:val="false"/>
          </w:tcPr>
          <w:p>
            <w:pPr>
              <w:pStyle w:val="730"/>
              <w:rPr>
                <w:b/>
                <w:bCs/>
              </w:rPr>
            </w:pPr>
            <w:r>
              <w:rPr>
                <w:b/>
                <w:bCs/>
                <w:lang w:eastAsia="ru-RU"/>
              </w:rPr>
              <w:t xml:space="preserve">Гнучкий перехід</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1</w:t>
            </w:r>
            <w:r/>
          </w:p>
        </w:tc>
      </w:tr>
      <w:tr>
        <w:trPr/>
        <w:tc>
          <w:tcPr>
            <w:tcW w:w="562" w:type="dxa"/>
            <w:textDirection w:val="lrTb"/>
            <w:noWrap w:val="false"/>
          </w:tcPr>
          <w:p>
            <w:pPr>
              <w:pStyle w:val="730"/>
              <w:jc w:val="center"/>
              <w:rPr>
                <w:b/>
                <w:bCs/>
              </w:rPr>
            </w:pPr>
            <w:r>
              <w:rPr>
                <w:b/>
                <w:bCs/>
              </w:rPr>
              <w:t xml:space="preserve">2</w:t>
            </w:r>
            <w:r/>
          </w:p>
        </w:tc>
        <w:tc>
          <w:tcPr>
            <w:tcW w:w="5670" w:type="dxa"/>
            <w:textDirection w:val="lrTb"/>
            <w:noWrap w:val="false"/>
          </w:tcPr>
          <w:p>
            <w:pPr>
              <w:pStyle w:val="730"/>
              <w:rPr>
                <w:b/>
                <w:bCs/>
              </w:rPr>
            </w:pPr>
            <w:r>
              <w:rPr>
                <w:b/>
                <w:bCs/>
                <w:lang w:eastAsia="ru-RU"/>
              </w:rPr>
              <w:t xml:space="preserve">РОЕ – комутатор</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1</w:t>
            </w:r>
            <w:r/>
          </w:p>
        </w:tc>
      </w:tr>
      <w:tr>
        <w:trPr/>
        <w:tc>
          <w:tcPr>
            <w:tcW w:w="562" w:type="dxa"/>
            <w:textDirection w:val="lrTb"/>
            <w:noWrap w:val="false"/>
          </w:tcPr>
          <w:p>
            <w:pPr>
              <w:pStyle w:val="730"/>
              <w:jc w:val="center"/>
              <w:rPr>
                <w:b/>
                <w:bCs/>
              </w:rPr>
            </w:pPr>
            <w:r>
              <w:rPr>
                <w:b/>
                <w:bCs/>
              </w:rPr>
              <w:t xml:space="preserve">3</w:t>
            </w:r>
            <w:r/>
          </w:p>
        </w:tc>
        <w:tc>
          <w:tcPr>
            <w:tcW w:w="5670" w:type="dxa"/>
            <w:textDirection w:val="lrTb"/>
            <w:noWrap w:val="false"/>
          </w:tcPr>
          <w:p>
            <w:pPr>
              <w:pStyle w:val="730"/>
              <w:rPr>
                <w:b/>
                <w:bCs/>
              </w:rPr>
            </w:pPr>
            <w:r>
              <w:rPr>
                <w:b/>
                <w:bCs/>
                <w:lang w:eastAsia="ru-RU"/>
              </w:rPr>
              <w:t xml:space="preserve">Відеокамера  </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5</w:t>
            </w:r>
            <w:r/>
          </w:p>
        </w:tc>
      </w:tr>
      <w:tr>
        <w:trPr/>
        <w:tc>
          <w:tcPr>
            <w:tcW w:w="562" w:type="dxa"/>
            <w:textDirection w:val="lrTb"/>
            <w:noWrap w:val="false"/>
          </w:tcPr>
          <w:p>
            <w:pPr>
              <w:pStyle w:val="730"/>
              <w:jc w:val="center"/>
              <w:rPr>
                <w:b/>
                <w:bCs/>
              </w:rPr>
            </w:pPr>
            <w:r>
              <w:rPr>
                <w:b/>
                <w:bCs/>
              </w:rPr>
              <w:t xml:space="preserve">4</w:t>
            </w:r>
            <w:r/>
          </w:p>
        </w:tc>
        <w:tc>
          <w:tcPr>
            <w:tcW w:w="5670" w:type="dxa"/>
            <w:textDirection w:val="lrTb"/>
            <w:noWrap w:val="false"/>
          </w:tcPr>
          <w:p>
            <w:pPr>
              <w:pStyle w:val="730"/>
              <w:rPr>
                <w:b/>
                <w:bCs/>
              </w:rPr>
            </w:pPr>
            <w:r>
              <w:rPr>
                <w:b/>
                <w:bCs/>
                <w:lang w:eastAsia="ru-RU"/>
              </w:rPr>
              <w:t xml:space="preserve">Реле</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2</w:t>
            </w:r>
            <w:r/>
          </w:p>
        </w:tc>
      </w:tr>
      <w:tr>
        <w:trPr/>
        <w:tc>
          <w:tcPr>
            <w:tcW w:w="562" w:type="dxa"/>
            <w:textDirection w:val="lrTb"/>
            <w:noWrap w:val="false"/>
          </w:tcPr>
          <w:p>
            <w:pPr>
              <w:pStyle w:val="730"/>
              <w:jc w:val="center"/>
              <w:rPr>
                <w:b/>
                <w:bCs/>
              </w:rPr>
            </w:pPr>
            <w:r>
              <w:rPr>
                <w:b/>
                <w:bCs/>
              </w:rPr>
              <w:t xml:space="preserve">5</w:t>
            </w:r>
            <w:r/>
          </w:p>
        </w:tc>
        <w:tc>
          <w:tcPr>
            <w:tcW w:w="5670" w:type="dxa"/>
            <w:textDirection w:val="lrTb"/>
            <w:noWrap w:val="false"/>
          </w:tcPr>
          <w:p>
            <w:pPr>
              <w:pStyle w:val="730"/>
              <w:rPr>
                <w:b/>
                <w:bCs/>
              </w:rPr>
            </w:pPr>
            <w:r>
              <w:rPr>
                <w:b/>
                <w:bCs/>
                <w:lang w:eastAsia="ru-RU"/>
              </w:rPr>
              <w:t xml:space="preserve">Кабель </w:t>
            </w:r>
            <w:r>
              <w:rPr>
                <w:b/>
                <w:bCs/>
                <w:lang w:eastAsia="ru-RU"/>
              </w:rPr>
              <w:t xml:space="preserve">волоконно</w:t>
            </w:r>
            <w:r>
              <w:rPr>
                <w:b/>
                <w:bCs/>
                <w:lang w:eastAsia="ru-RU"/>
              </w:rPr>
              <w:t xml:space="preserve">-оптичний</w:t>
            </w:r>
            <w:r/>
          </w:p>
        </w:tc>
        <w:tc>
          <w:tcPr>
            <w:tcW w:w="1701" w:type="dxa"/>
            <w:textDirection w:val="lrTb"/>
            <w:noWrap w:val="false"/>
          </w:tcPr>
          <w:p>
            <w:pPr>
              <w:pStyle w:val="730"/>
              <w:jc w:val="center"/>
              <w:rPr>
                <w:b/>
                <w:bCs/>
              </w:rPr>
            </w:pPr>
            <w:r>
              <w:rPr>
                <w:b/>
                <w:bCs/>
              </w:rPr>
              <w:t xml:space="preserve">м</w:t>
            </w:r>
            <w:r/>
          </w:p>
        </w:tc>
        <w:tc>
          <w:tcPr>
            <w:tcW w:w="1701" w:type="dxa"/>
            <w:textDirection w:val="lrTb"/>
            <w:noWrap w:val="false"/>
          </w:tcPr>
          <w:p>
            <w:pPr>
              <w:pStyle w:val="730"/>
              <w:jc w:val="center"/>
              <w:rPr>
                <w:b/>
                <w:bCs/>
              </w:rPr>
            </w:pPr>
            <w:r>
              <w:rPr>
                <w:b/>
                <w:bCs/>
              </w:rPr>
              <w:t xml:space="preserve">130</w:t>
            </w:r>
            <w:r/>
          </w:p>
        </w:tc>
      </w:tr>
      <w:tr>
        <w:trPr/>
        <w:tc>
          <w:tcPr>
            <w:tcW w:w="562" w:type="dxa"/>
            <w:textDirection w:val="lrTb"/>
            <w:noWrap w:val="false"/>
          </w:tcPr>
          <w:p>
            <w:pPr>
              <w:pStyle w:val="730"/>
              <w:jc w:val="center"/>
              <w:rPr>
                <w:b/>
                <w:bCs/>
              </w:rPr>
            </w:pPr>
            <w:r>
              <w:rPr>
                <w:b/>
                <w:bCs/>
              </w:rPr>
              <w:t xml:space="preserve">6</w:t>
            </w:r>
            <w:r/>
          </w:p>
        </w:tc>
        <w:tc>
          <w:tcPr>
            <w:tcW w:w="5670" w:type="dxa"/>
            <w:textDirection w:val="lrTb"/>
            <w:noWrap w:val="false"/>
          </w:tcPr>
          <w:p>
            <w:pPr>
              <w:pStyle w:val="730"/>
              <w:rPr>
                <w:b/>
                <w:bCs/>
              </w:rPr>
            </w:pPr>
            <w:r>
              <w:rPr>
                <w:b/>
                <w:bCs/>
                <w:lang w:eastAsia="ru-RU"/>
              </w:rPr>
              <w:t xml:space="preserve">Медіаконвектор</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10</w:t>
            </w:r>
            <w:r/>
          </w:p>
        </w:tc>
      </w:tr>
      <w:tr>
        <w:trPr/>
        <w:tc>
          <w:tcPr>
            <w:tcW w:w="562" w:type="dxa"/>
            <w:textDirection w:val="lrTb"/>
            <w:noWrap w:val="false"/>
          </w:tcPr>
          <w:p>
            <w:pPr>
              <w:pStyle w:val="730"/>
              <w:jc w:val="center"/>
              <w:rPr>
                <w:b/>
                <w:bCs/>
              </w:rPr>
            </w:pPr>
            <w:r>
              <w:rPr>
                <w:b/>
                <w:bCs/>
              </w:rPr>
              <w:t xml:space="preserve">7</w:t>
            </w:r>
            <w:r/>
          </w:p>
        </w:tc>
        <w:tc>
          <w:tcPr>
            <w:tcW w:w="5670" w:type="dxa"/>
            <w:textDirection w:val="lrTb"/>
            <w:noWrap w:val="false"/>
          </w:tcPr>
          <w:p>
            <w:pPr>
              <w:pStyle w:val="730"/>
              <w:rPr>
                <w:b/>
                <w:bCs/>
              </w:rPr>
            </w:pPr>
            <w:r>
              <w:rPr>
                <w:b/>
                <w:bCs/>
                <w:lang w:eastAsia="ru-RU"/>
              </w:rPr>
              <w:t xml:space="preserve">Гнучка труба</w:t>
            </w:r>
            <w:r/>
          </w:p>
        </w:tc>
        <w:tc>
          <w:tcPr>
            <w:tcW w:w="1701" w:type="dxa"/>
            <w:textDirection w:val="lrTb"/>
            <w:noWrap w:val="false"/>
          </w:tcPr>
          <w:p>
            <w:pPr>
              <w:pStyle w:val="730"/>
              <w:jc w:val="center"/>
              <w:rPr>
                <w:b/>
                <w:bCs/>
              </w:rPr>
            </w:pPr>
            <w:r>
              <w:rPr>
                <w:b/>
                <w:bCs/>
              </w:rPr>
              <w:t xml:space="preserve">м</w:t>
            </w:r>
            <w:r/>
          </w:p>
        </w:tc>
        <w:tc>
          <w:tcPr>
            <w:tcW w:w="1701" w:type="dxa"/>
            <w:textDirection w:val="lrTb"/>
            <w:noWrap w:val="false"/>
          </w:tcPr>
          <w:p>
            <w:pPr>
              <w:pStyle w:val="730"/>
              <w:jc w:val="center"/>
              <w:rPr>
                <w:b/>
                <w:bCs/>
              </w:rPr>
            </w:pPr>
            <w:r>
              <w:rPr>
                <w:b/>
                <w:bCs/>
              </w:rPr>
              <w:t xml:space="preserve">130</w:t>
            </w:r>
            <w:r/>
          </w:p>
        </w:tc>
      </w:tr>
      <w:tr>
        <w:trPr/>
        <w:tc>
          <w:tcPr>
            <w:tcW w:w="562" w:type="dxa"/>
            <w:textDirection w:val="lrTb"/>
            <w:noWrap w:val="false"/>
          </w:tcPr>
          <w:p>
            <w:pPr>
              <w:pStyle w:val="730"/>
              <w:jc w:val="center"/>
              <w:rPr>
                <w:b/>
                <w:bCs/>
              </w:rPr>
            </w:pPr>
            <w:r>
              <w:rPr>
                <w:b/>
                <w:bCs/>
              </w:rPr>
              <w:t xml:space="preserve">8</w:t>
            </w:r>
            <w:r/>
          </w:p>
        </w:tc>
        <w:tc>
          <w:tcPr>
            <w:tcW w:w="5670" w:type="dxa"/>
            <w:textDirection w:val="lrTb"/>
            <w:noWrap w:val="false"/>
          </w:tcPr>
          <w:p>
            <w:pPr>
              <w:pStyle w:val="730"/>
              <w:rPr>
                <w:b/>
                <w:bCs/>
              </w:rPr>
            </w:pPr>
            <w:r>
              <w:rPr>
                <w:b/>
                <w:bCs/>
                <w:lang w:eastAsia="ru-RU"/>
              </w:rPr>
              <w:t xml:space="preserve">Блок управління замком</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1</w:t>
            </w:r>
            <w:r/>
          </w:p>
        </w:tc>
      </w:tr>
      <w:tr>
        <w:trPr/>
        <w:tc>
          <w:tcPr>
            <w:tcW w:w="562" w:type="dxa"/>
            <w:textDirection w:val="lrTb"/>
            <w:noWrap w:val="false"/>
          </w:tcPr>
          <w:p>
            <w:pPr>
              <w:pStyle w:val="730"/>
              <w:jc w:val="center"/>
              <w:rPr>
                <w:b/>
                <w:bCs/>
              </w:rPr>
            </w:pPr>
            <w:r>
              <w:rPr>
                <w:b/>
                <w:bCs/>
              </w:rPr>
              <w:t xml:space="preserve">9</w:t>
            </w:r>
            <w:r/>
          </w:p>
        </w:tc>
        <w:tc>
          <w:tcPr>
            <w:tcW w:w="5670" w:type="dxa"/>
            <w:textDirection w:val="lrTb"/>
            <w:noWrap w:val="false"/>
          </w:tcPr>
          <w:p>
            <w:pPr>
              <w:pStyle w:val="730"/>
              <w:rPr>
                <w:b/>
                <w:bCs/>
              </w:rPr>
            </w:pPr>
            <w:r>
              <w:rPr>
                <w:b/>
                <w:bCs/>
                <w:lang w:eastAsia="ru-RU"/>
              </w:rPr>
              <w:t xml:space="preserve">Датчик</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1</w:t>
            </w:r>
            <w:r/>
          </w:p>
        </w:tc>
      </w:tr>
      <w:tr>
        <w:trPr/>
        <w:tc>
          <w:tcPr>
            <w:tcW w:w="562" w:type="dxa"/>
            <w:textDirection w:val="lrTb"/>
            <w:noWrap w:val="false"/>
          </w:tcPr>
          <w:p>
            <w:pPr>
              <w:pStyle w:val="730"/>
              <w:jc w:val="center"/>
              <w:rPr>
                <w:b/>
                <w:bCs/>
              </w:rPr>
            </w:pPr>
            <w:r>
              <w:rPr>
                <w:b/>
                <w:bCs/>
              </w:rPr>
              <w:t xml:space="preserve">10</w:t>
            </w:r>
            <w:r/>
          </w:p>
        </w:tc>
        <w:tc>
          <w:tcPr>
            <w:tcW w:w="5670" w:type="dxa"/>
            <w:textDirection w:val="lrTb"/>
            <w:noWrap w:val="false"/>
          </w:tcPr>
          <w:p>
            <w:pPr>
              <w:pStyle w:val="730"/>
              <w:rPr>
                <w:b/>
                <w:bCs/>
              </w:rPr>
            </w:pPr>
            <w:r>
              <w:rPr>
                <w:b/>
                <w:bCs/>
                <w:lang w:eastAsia="ru-RU"/>
              </w:rPr>
              <w:t xml:space="preserve">Оптичний </w:t>
            </w:r>
            <w:r>
              <w:rPr>
                <w:b/>
                <w:bCs/>
                <w:lang w:eastAsia="ru-RU"/>
              </w:rPr>
              <w:t xml:space="preserve">мікробокс</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3</w:t>
            </w:r>
            <w:r/>
          </w:p>
        </w:tc>
      </w:tr>
      <w:tr>
        <w:trPr/>
        <w:tc>
          <w:tcPr>
            <w:tcW w:w="562" w:type="dxa"/>
            <w:textDirection w:val="lrTb"/>
            <w:noWrap w:val="false"/>
          </w:tcPr>
          <w:p>
            <w:pPr>
              <w:pStyle w:val="730"/>
              <w:jc w:val="center"/>
              <w:rPr>
                <w:b/>
                <w:bCs/>
              </w:rPr>
            </w:pPr>
            <w:r>
              <w:rPr>
                <w:b/>
                <w:bCs/>
              </w:rPr>
              <w:t xml:space="preserve">11</w:t>
            </w:r>
            <w:r/>
          </w:p>
        </w:tc>
        <w:tc>
          <w:tcPr>
            <w:tcW w:w="5670" w:type="dxa"/>
            <w:textDirection w:val="lrTb"/>
            <w:noWrap w:val="false"/>
          </w:tcPr>
          <w:p>
            <w:pPr>
              <w:pStyle w:val="730"/>
              <w:rPr>
                <w:b/>
                <w:bCs/>
              </w:rPr>
            </w:pPr>
            <w:r>
              <w:rPr>
                <w:b/>
                <w:bCs/>
                <w:lang w:eastAsia="ru-RU"/>
              </w:rPr>
              <w:t xml:space="preserve">Піхтейл</w:t>
            </w:r>
            <w:r>
              <w:rPr>
                <w:b/>
                <w:bCs/>
                <w:lang w:eastAsia="ru-RU"/>
              </w:rPr>
              <w:t xml:space="preserve"> оптичний</w:t>
            </w:r>
            <w:r/>
          </w:p>
        </w:tc>
        <w:tc>
          <w:tcPr>
            <w:tcW w:w="1701" w:type="dxa"/>
            <w:textDirection w:val="lrTb"/>
            <w:noWrap w:val="false"/>
          </w:tcPr>
          <w:p>
            <w:pPr>
              <w:pStyle w:val="730"/>
              <w:jc w:val="center"/>
              <w:rPr>
                <w:b/>
                <w:bCs/>
              </w:rPr>
            </w:pPr>
            <w:r>
              <w:rPr>
                <w:b/>
                <w:bCs/>
              </w:rPr>
              <w:t xml:space="preserve">шт</w:t>
            </w:r>
            <w:r/>
          </w:p>
        </w:tc>
        <w:tc>
          <w:tcPr>
            <w:tcW w:w="1701" w:type="dxa"/>
            <w:textDirection w:val="lrTb"/>
            <w:noWrap w:val="false"/>
          </w:tcPr>
          <w:p>
            <w:pPr>
              <w:pStyle w:val="730"/>
              <w:jc w:val="center"/>
              <w:rPr>
                <w:b/>
                <w:bCs/>
              </w:rPr>
            </w:pPr>
            <w:r>
              <w:rPr>
                <w:b/>
                <w:bCs/>
              </w:rPr>
              <w:t xml:space="preserve">10</w:t>
            </w:r>
            <w:r/>
          </w:p>
        </w:tc>
      </w:tr>
    </w:tbl>
    <w:p>
      <w:pPr>
        <w:pStyle w:val="730"/>
        <w:jc w:val="both"/>
        <w:spacing w:after="0" w:line="240" w:lineRule="auto"/>
        <w:rPr>
          <w:b/>
          <w:bCs/>
          <w:i/>
          <w:iCs/>
          <w:lang w:eastAsia="ru-RU"/>
        </w:rPr>
      </w:pPr>
      <w:r>
        <w:rPr>
          <w:b/>
          <w:bCs/>
          <w:i/>
          <w:iCs/>
          <w:lang w:eastAsia="ru-RU"/>
        </w:rPr>
      </w:r>
      <w:r/>
    </w:p>
    <w:p>
      <w:pPr>
        <w:pStyle w:val="730"/>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 монтаж, встановлення (введення в експлуатацію) Товару.</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 (характеристики будуть порівнюватися із характеристиками на зазначений товар в </w:t>
      </w:r>
      <w:r>
        <w:rPr>
          <w:rFonts w:ascii="Times New Roman" w:hAnsi="Times New Roman" w:cs="Times New Roman"/>
          <w:color w:val="000000"/>
          <w:sz w:val="24"/>
          <w:szCs w:val="24"/>
        </w:rPr>
        <w:t xml:space="preserve">Специфікації).</w:t>
      </w:r>
      <w:r>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5. Учаснику необхідно зазначити конкретну назву, марку, модель Товару, що пропонується для визначення замовником технічних характеристик Товару, що пропонується Учасником.</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lang w:eastAsia="ar-SA"/>
        </w:rPr>
        <w:t xml:space="preserve">6. </w:t>
      </w:r>
      <w:r>
        <w:rPr>
          <w:rFonts w:ascii="Times New Roman" w:hAnsi="Times New Roman" w:cs="Times New Roman"/>
          <w:color w:val="000000"/>
          <w:sz w:val="24"/>
          <w:szCs w:val="24"/>
          <w:u w:val="single"/>
        </w:rPr>
        <w:t xml:space="preserve">Вимоги щодо якості</w:t>
      </w:r>
      <w:r>
        <w:rPr>
          <w:rFonts w:ascii="Times New Roman" w:hAnsi="Times New Roman" w:cs="Times New Roman"/>
          <w:color w:val="000000"/>
          <w:sz w:val="24"/>
          <w:szCs w:val="24"/>
        </w:rPr>
        <w:t xml:space="preserve">: предмет закупівлі повинен бути но</w:t>
      </w:r>
      <w:r>
        <w:rPr>
          <w:rFonts w:ascii="Times New Roman" w:hAnsi="Times New Roman" w:cs="Times New Roman"/>
          <w:color w:val="000000"/>
          <w:sz w:val="24"/>
          <w:szCs w:val="24"/>
        </w:rPr>
        <w:t xml:space="preserve">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w:t>
      </w:r>
      <w:r>
        <w:rPr>
          <w:rFonts w:ascii="Times New Roman" w:hAnsi="Times New Roman" w:cs="Times New Roman"/>
          <w:color w:val="000000"/>
          <w:sz w:val="24"/>
          <w:szCs w:val="24"/>
        </w:rPr>
        <w:t xml:space="preserve">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w:t>
      </w:r>
      <w:r>
        <w:rPr>
          <w:rFonts w:ascii="Times New Roman" w:hAnsi="Times New Roman" w:cs="Times New Roman"/>
          <w:color w:val="000000"/>
          <w:sz w:val="24"/>
          <w:szCs w:val="24"/>
        </w:rPr>
        <w:t xml:space="preserve">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r/>
    </w:p>
    <w:p>
      <w:pPr>
        <w:jc w:val="both"/>
        <w:spacing w:after="0" w:line="240" w:lineRule="auto"/>
        <w:rPr>
          <w:rFonts w:ascii="Times New Roman" w:hAnsi="Times New Roman" w:cs="Times New Roman"/>
          <w:sz w:val="24"/>
          <w:szCs w:val="24"/>
          <w:lang w:eastAsia="ar-SA"/>
        </w:rPr>
      </w:pPr>
      <w:r>
        <w:rPr>
          <w:rFonts w:ascii="Times New Roman" w:hAnsi="Times New Roman" w:cs="Times New Roman"/>
          <w:color w:val="000000"/>
          <w:sz w:val="24"/>
          <w:szCs w:val="24"/>
        </w:rPr>
        <w:t xml:space="preserve">7. Учасник у складі тендерної пропозиції повинен надати гарантійний лист, що товар (фірми виробники товару) не занесені Національним </w:t>
      </w:r>
      <w:r>
        <w:rPr>
          <w:rFonts w:ascii="Times New Roman" w:hAnsi="Times New Roman" w:cs="Times New Roman"/>
          <w:color w:val="000000"/>
          <w:sz w:val="24"/>
          <w:szCs w:val="24"/>
        </w:rPr>
        <w:t xml:space="preserve">агенством</w:t>
      </w:r>
      <w:r>
        <w:rPr>
          <w:rFonts w:ascii="Times New Roman" w:hAnsi="Times New Roman" w:cs="Times New Roman"/>
          <w:color w:val="000000"/>
          <w:sz w:val="24"/>
          <w:szCs w:val="24"/>
        </w:rPr>
        <w:t xml:space="preserve"> з питань запобігання корупції до списку </w:t>
      </w:r>
      <w:r>
        <w:rPr>
          <w:rFonts w:ascii="Times New Roman" w:hAnsi="Times New Roman" w:cs="Times New Roman"/>
          <w:color w:val="000000"/>
          <w:sz w:val="24"/>
          <w:szCs w:val="24"/>
        </w:rPr>
        <w:t xml:space="preserve">проєкту</w:t>
      </w:r>
      <w:r>
        <w:rPr>
          <w:rFonts w:ascii="Times New Roman" w:hAnsi="Times New Roman" w:cs="Times New Roman"/>
          <w:color w:val="000000"/>
          <w:sz w:val="24"/>
          <w:szCs w:val="24"/>
        </w:rPr>
        <w:t xml:space="preserve"> «Міжнародні спонсори війни».</w:t>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Учасник у складі тендерної пропозиції надає таблицю відповідності за нижченаведеною формою із зазначенням конкретної назви, марки, моделі Товару.</w:t>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9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0"/>
        <w:gridCol w:w="2736"/>
        <w:gridCol w:w="3310"/>
        <w:gridCol w:w="3052"/>
      </w:tblGrid>
      <w:tr>
        <w:trPr/>
        <w:tc>
          <w:tcPr>
            <w:tcW w:w="520" w:type="dxa"/>
            <w:vAlign w:val="center"/>
            <w:textDirection w:val="lrTb"/>
            <w:noWrap w:val="false"/>
          </w:tcPr>
          <w:p>
            <w:pPr>
              <w:contextualSpacing/>
              <w:ind w:left="14" w:hanging="14"/>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2736" w:type="dxa"/>
            <w:vAlign w:val="center"/>
            <w:textDirection w:val="lrTb"/>
            <w:noWrap w:val="false"/>
          </w:tcPr>
          <w:p>
            <w:pPr>
              <w:contextualSpacing/>
              <w:ind w:left="14" w:hanging="14"/>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Назва, марка, модель</w:t>
            </w:r>
            <w:r/>
          </w:p>
        </w:tc>
        <w:tc>
          <w:tcPr>
            <w:tcW w:w="3310" w:type="dxa"/>
            <w:vAlign w:val="center"/>
            <w:textDirection w:val="lrTb"/>
            <w:noWrap w:val="false"/>
          </w:tcPr>
          <w:p>
            <w:pPr>
              <w:contextualSpacing/>
              <w:ind w:left="14" w:hanging="14"/>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052" w:type="dxa"/>
            <w:vAlign w:val="center"/>
            <w:textDirection w:val="lrTb"/>
            <w:noWrap w:val="false"/>
          </w:tcPr>
          <w:p>
            <w:pPr>
              <w:contextualSpacing/>
              <w:ind w:left="14" w:hanging="14"/>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bookmarkStart w:id="0" w:name="_Hlk134167948"/>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1" w:name="_Hlk134167935"/>
      <w:r>
        <w:rPr>
          <w:rFonts w:ascii="Times New Roman" w:hAnsi="Times New Roman" w:cs="Times New Roman"/>
          <w:bCs/>
          <w:iCs/>
          <w:sz w:val="24"/>
          <w:szCs w:val="24"/>
        </w:rPr>
        <w:t xml:space="preserve">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bookmarkEnd w:id="0"/>
      <w:bookmarkEnd w:id="1"/>
      <w:r/>
    </w:p>
    <w:p>
      <w:pPr>
        <w:pStyle w:val="726"/>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tbl>
      <w:tblPr>
        <w:tblStyle w:val="728"/>
        <w:tblW w:w="9634" w:type="dxa"/>
        <w:tblLook w:val="04A0" w:firstRow="1" w:lastRow="0" w:firstColumn="1" w:lastColumn="0" w:noHBand="0" w:noVBand="1"/>
      </w:tblPr>
      <w:tblGrid>
        <w:gridCol w:w="458"/>
        <w:gridCol w:w="6564"/>
        <w:gridCol w:w="1208"/>
        <w:gridCol w:w="1404"/>
      </w:tblGrid>
      <w:tr>
        <w:trPr/>
        <w:tc>
          <w:tcPr>
            <w:tcW w:w="456" w:type="dxa"/>
            <w:textDirection w:val="lrTb"/>
            <w:noWrap w:val="false"/>
          </w:tcPr>
          <w:p>
            <w:pPr>
              <w:contextualSpacing/>
              <w:jc w:val="both"/>
              <w:rPr>
                <w:rFonts w:ascii="Times New Roman" w:hAnsi="Times New Roman" w:cs="Times New Roman"/>
                <w:b/>
                <w:bCs/>
                <w:sz w:val="24"/>
                <w:szCs w:val="24"/>
              </w:rPr>
            </w:pPr>
            <w:r/>
            <w:bookmarkStart w:id="2" w:name="_Hlk134167923"/>
            <w:r/>
            <w:bookmarkStart w:id="3" w:name="_Hlk158700734"/>
            <w:r>
              <w:rPr>
                <w:rFonts w:ascii="Times New Roman" w:hAnsi="Times New Roman" w:cs="Times New Roman"/>
                <w:b/>
                <w:bCs/>
                <w:sz w:val="24"/>
                <w:szCs w:val="24"/>
              </w:rPr>
              <w:t xml:space="preserve">№</w:t>
            </w:r>
            <w:r/>
          </w:p>
        </w:tc>
        <w:tc>
          <w:tcPr>
            <w:tcW w:w="6566"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Найменування обладнання</w:t>
            </w:r>
            <w:r/>
          </w:p>
        </w:tc>
        <w:tc>
          <w:tcPr>
            <w:tcW w:w="1208" w:type="dxa"/>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W w:w="1404" w:type="dxa"/>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tcW w:w="6566" w:type="dxa"/>
            <w:vAlign w:val="center"/>
            <w:textDirection w:val="lrTb"/>
            <w:noWrap w:val="false"/>
          </w:tcPr>
          <w:p>
            <w:pPr>
              <w:contextualSpacing/>
              <w:rPr>
                <w:rFonts w:ascii="Times New Roman" w:hAnsi="Times New Roman" w:cs="Times New Roman"/>
                <w:b/>
                <w:bCs/>
                <w:sz w:val="24"/>
                <w:szCs w:val="24"/>
              </w:rPr>
            </w:pPr>
            <w:r>
              <w:rPr>
                <w:rFonts w:ascii="Times New Roman" w:hAnsi="Times New Roman" w:cs="Times New Roman"/>
                <w:b/>
                <w:bCs/>
                <w:sz w:val="24"/>
                <w:szCs w:val="24"/>
                <w:lang w:eastAsia="ru-RU"/>
              </w:rPr>
              <w:t xml:space="preserve">Гнучкий перехід</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c>
          <w:tcPr>
            <w:gridSpan w:val="4"/>
            <w:tcW w:w="9634" w:type="dxa"/>
            <w:vAlign w:val="center"/>
            <w:textDirection w:val="lrTb"/>
            <w:noWrap w:val="false"/>
          </w:tcPr>
          <w:p>
            <w:pPr>
              <w:pStyle w:val="760"/>
              <w:spacing w:before="0" w:beforeAutospacing="0" w:after="0" w:afterAutospacing="0"/>
            </w:pPr>
            <w:r>
              <w:t xml:space="preserve">Гнучкий перехід дверний короткий, використовується для захисту кабелю від пошкодження і деформації. Зроблений з пластика чорного кольору. тип пристрою:</w:t>
            </w:r>
            <w:r/>
          </w:p>
          <w:p>
            <w:pPr>
              <w:pStyle w:val="761"/>
              <w:spacing w:before="0" w:beforeAutospacing="0" w:after="0" w:afterAutospacing="0"/>
            </w:pPr>
            <w:r/>
            <w:hyperlink r:id="rId11" w:tooltip="https://www.bezpeka-shop.com/ua/catalog/dvernye_perekhody/f/tip_ustroystva-is-gibkiy-perekhod/" w:history="1">
              <w:r>
                <w:rPr>
                  <w:rStyle w:val="735"/>
                  <w:rFonts w:eastAsia="Calibri"/>
                </w:rPr>
                <w:t xml:space="preserve">гнучкий перехід</w:t>
              </w:r>
            </w:hyperlink>
            <w:r>
              <w:t xml:space="preserve">, Тип встановлення: </w:t>
            </w:r>
            <w:hyperlink r:id="rId12" w:tooltip="https://www.bezpeka-shop.com/ua/catalog/dvernye_perekhody/f/tip_ustanovki-is-vnutrennyaya/" w:history="1">
              <w:r>
                <w:rPr>
                  <w:rStyle w:val="735"/>
                  <w:rFonts w:eastAsia="Calibri"/>
                </w:rPr>
                <w:t xml:space="preserve">внутрішнє</w:t>
              </w:r>
            </w:hyperlink>
            <w:r>
              <w:t xml:space="preserve">; </w:t>
            </w:r>
            <w:hyperlink r:id="rId13" w:tooltip="https://www.bezpeka-shop.com/ua/catalog/dvernye_perekhody/f/tip_ustanovki-is-naruzhnaya/" w:history="1">
              <w:r>
                <w:rPr>
                  <w:rStyle w:val="735"/>
                  <w:rFonts w:eastAsia="Calibri"/>
                </w:rPr>
                <w:t xml:space="preserve">зовнішнє</w:t>
              </w:r>
            </w:hyperlink>
            <w:r>
              <w:t xml:space="preserve">, Матеріал: пластик, Колір: </w:t>
            </w:r>
            <w:hyperlink r:id="rId14" w:tooltip="https://www.bezpeka-shop.com/ua/catalog/dvernye_perekhody/f/tsvet-is-chernyy/" w:history="1">
              <w:r>
                <w:rPr>
                  <w:rStyle w:val="735"/>
                  <w:rFonts w:eastAsia="Calibri"/>
                </w:rPr>
                <w:t xml:space="preserve">чорний</w:t>
              </w:r>
            </w:hyperlink>
            <w:r>
              <w:t xml:space="preserve">, Розміри, мм: Ø8 х 33</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2</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РОЕ – комутатор</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c>
          <w:tcPr>
            <w:gridSpan w:val="4"/>
            <w:tcW w:w="9634" w:type="dxa"/>
            <w:vAlign w:val="center"/>
            <w:textDirection w:val="lrTb"/>
            <w:noWrap w:val="false"/>
          </w:tcPr>
          <w:p>
            <w:pPr>
              <w:pStyle w:val="760"/>
              <w:spacing w:before="0" w:beforeAutospacing="0" w:after="0" w:afterAutospacing="0"/>
            </w:pPr>
            <w:r>
              <w:t xml:space="preserve">Тип пристрою: </w:t>
            </w:r>
            <w:hyperlink r:id="rId15" w:tooltip="https://www.bezpeka-shop.com/ua/catalog/poe/f/tip_ustroystva-is-poe-kommutator/" w:history="1">
              <w:r>
                <w:rPr>
                  <w:rStyle w:val="735"/>
                  <w:rFonts w:eastAsia="Calibri"/>
                </w:rPr>
                <w:t xml:space="preserve">PoE</w:t>
              </w:r>
              <w:r>
                <w:rPr>
                  <w:rStyle w:val="735"/>
                  <w:rFonts w:eastAsia="Calibri"/>
                </w:rPr>
                <w:t xml:space="preserve">-комутатор</w:t>
              </w:r>
            </w:hyperlink>
            <w:r/>
            <w:r/>
          </w:p>
          <w:p>
            <w:pPr>
              <w:pStyle w:val="760"/>
              <w:spacing w:before="0" w:beforeAutospacing="0" w:after="0" w:afterAutospacing="0"/>
            </w:pPr>
            <w:r>
              <w:t xml:space="preserve">Тип комутатора: </w:t>
            </w:r>
            <w:hyperlink r:id="rId16" w:tooltip="https://www.bezpeka-shop.com/ua/catalog/poe/f/tip_kommutatora-is-neupravlyaemyy/" w:history="1">
              <w:r>
                <w:rPr>
                  <w:rStyle w:val="735"/>
                  <w:rFonts w:eastAsia="Calibri"/>
                </w:rPr>
                <w:t xml:space="preserve">некерований</w:t>
              </w:r>
            </w:hyperlink>
            <w:r/>
            <w:r/>
          </w:p>
          <w:p>
            <w:pPr>
              <w:pStyle w:val="760"/>
              <w:spacing w:before="0" w:beforeAutospacing="0" w:after="0" w:afterAutospacing="0"/>
            </w:pPr>
            <w:r>
              <w:t xml:space="preserve">Форм-фактор:</w:t>
            </w:r>
            <w:hyperlink r:id="rId17" w:tooltip="https://www.bezpeka-shop.com/ua/catalog/poe/f/form_faktor_kommutatora-is-nastolnyy/" w:history="1">
              <w:r>
                <w:rPr>
                  <w:rStyle w:val="735"/>
                  <w:rFonts w:eastAsia="Calibri"/>
                </w:rPr>
                <w:t xml:space="preserve">настільний</w:t>
              </w:r>
            </w:hyperlink>
            <w:r/>
            <w:r/>
          </w:p>
          <w:p>
            <w:pPr>
              <w:pStyle w:val="760"/>
              <w:spacing w:before="0" w:beforeAutospacing="0" w:after="0" w:afterAutospacing="0"/>
            </w:pPr>
            <w:r>
              <w:t xml:space="preserve">Загальна кількість портів:</w:t>
            </w:r>
            <w:hyperlink r:id="rId18" w:tooltip="https://www.bezpeka-shop.com/ua/catalog/poe/f/kolichestvo_portov-is-10/" w:history="1">
              <w:r>
                <w:rPr>
                  <w:rStyle w:val="735"/>
                  <w:rFonts w:eastAsia="Calibri"/>
                </w:rPr>
                <w:t xml:space="preserve">10</w:t>
              </w:r>
            </w:hyperlink>
            <w:r/>
            <w:r/>
          </w:p>
          <w:p>
            <w:pPr>
              <w:pStyle w:val="760"/>
              <w:spacing w:before="0" w:beforeAutospacing="0" w:after="0" w:afterAutospacing="0"/>
            </w:pPr>
            <w:r>
              <w:t xml:space="preserve">Кількість портів PoE:</w:t>
            </w:r>
            <w:hyperlink r:id="rId19" w:tooltip="https://www.bezpeka-shop.com/ua/catalog/poe/f/kolichestvo_portov_poe-is-8/" w:history="1">
              <w:r>
                <w:rPr>
                  <w:rStyle w:val="735"/>
                  <w:rFonts w:eastAsia="Calibri"/>
                </w:rPr>
                <w:t xml:space="preserve">8</w:t>
              </w:r>
            </w:hyperlink>
            <w:r/>
            <w:r/>
          </w:p>
          <w:p>
            <w:pPr>
              <w:pStyle w:val="760"/>
              <w:spacing w:before="0" w:beforeAutospacing="0" w:after="0" w:afterAutospacing="0"/>
            </w:pPr>
            <w:r>
              <w:t xml:space="preserve">Порти комутатора:10: 8x10/100 </w:t>
            </w:r>
            <w:r>
              <w:t xml:space="preserve">Mbps</w:t>
            </w:r>
            <w:r>
              <w:t xml:space="preserve"> (</w:t>
            </w:r>
            <w:r>
              <w:t xml:space="preserve">PoE</w:t>
            </w:r>
            <w:r>
              <w:t xml:space="preserve">), 2x10/100 </w:t>
            </w:r>
            <w:r>
              <w:t xml:space="preserve">Mbps</w:t>
            </w:r>
            <w:r>
              <w:t xml:space="preserve"> (</w:t>
            </w:r>
            <w:r>
              <w:t xml:space="preserve">Uplink</w:t>
            </w:r>
            <w:r>
              <w:t xml:space="preserve">)</w:t>
            </w:r>
            <w:r/>
          </w:p>
          <w:p>
            <w:pPr>
              <w:pStyle w:val="760"/>
              <w:spacing w:before="0" w:beforeAutospacing="0" w:after="0" w:afterAutospacing="0"/>
            </w:pPr>
            <w:r>
              <w:t xml:space="preserve">Стандарти: IEEE 802.3af/</w:t>
            </w:r>
            <w:r>
              <w:t xml:space="preserve">at</w:t>
            </w:r>
            <w:r>
              <w:t xml:space="preserve"> </w:t>
            </w:r>
            <w:r>
              <w:t xml:space="preserve">PoE</w:t>
            </w:r>
            <w:r/>
          </w:p>
          <w:p>
            <w:pPr>
              <w:pStyle w:val="760"/>
              <w:spacing w:before="0" w:beforeAutospacing="0" w:after="0" w:afterAutospacing="0"/>
            </w:pPr>
            <w:r>
              <w:t xml:space="preserve">Відстань до споживача </w:t>
            </w:r>
            <w:r>
              <w:t xml:space="preserve">PoE</w:t>
            </w:r>
            <w:r>
              <w:t xml:space="preserve">, м:</w:t>
            </w:r>
            <w:hyperlink r:id="rId20" w:tooltip="https://www.bezpeka-shop.com/ua/catalog/poe/f/rasstoyanie_do_potrebitelya_poe_m-is-250/" w:history="1">
              <w:r>
                <w:rPr>
                  <w:rStyle w:val="735"/>
                  <w:rFonts w:eastAsia="Calibri"/>
                </w:rPr>
                <w:t xml:space="preserve">250</w:t>
              </w:r>
            </w:hyperlink>
            <w:r/>
            <w:r/>
          </w:p>
          <w:p>
            <w:pPr>
              <w:pStyle w:val="742"/>
              <w:rPr>
                <w:rFonts w:ascii="Times New Roman" w:hAnsi="Times New Roman"/>
                <w:sz w:val="24"/>
                <w:szCs w:val="24"/>
              </w:rPr>
            </w:pPr>
            <w:r>
              <w:rPr>
                <w:rFonts w:ascii="Times New Roman" w:hAnsi="Times New Roman"/>
                <w:sz w:val="24"/>
                <w:szCs w:val="24"/>
              </w:rPr>
              <w:t xml:space="preserve">Максимальна потужність </w:t>
            </w:r>
            <w:r>
              <w:rPr>
                <w:rFonts w:ascii="Times New Roman" w:hAnsi="Times New Roman"/>
                <w:sz w:val="24"/>
                <w:szCs w:val="24"/>
              </w:rPr>
              <w:t xml:space="preserve">PoE</w:t>
            </w:r>
            <w:r>
              <w:rPr>
                <w:rFonts w:ascii="Times New Roman" w:hAnsi="Times New Roman"/>
                <w:sz w:val="24"/>
                <w:szCs w:val="24"/>
              </w:rPr>
              <w:t xml:space="preserve"> - 15,4 або 30 Вт на один порт;</w:t>
            </w:r>
            <w:r/>
          </w:p>
          <w:p>
            <w:pPr>
              <w:pStyle w:val="742"/>
              <w:rPr>
                <w:rFonts w:ascii="Times New Roman" w:hAnsi="Times New Roman"/>
                <w:sz w:val="24"/>
                <w:szCs w:val="24"/>
              </w:rPr>
            </w:pPr>
            <w:r>
              <w:rPr>
                <w:rFonts w:ascii="Times New Roman" w:hAnsi="Times New Roman"/>
                <w:sz w:val="24"/>
                <w:szCs w:val="24"/>
              </w:rPr>
              <w:t xml:space="preserve">Сумарний бюджет </w:t>
            </w:r>
            <w:r>
              <w:rPr>
                <w:rFonts w:ascii="Times New Roman" w:hAnsi="Times New Roman"/>
                <w:sz w:val="24"/>
                <w:szCs w:val="24"/>
              </w:rPr>
              <w:t xml:space="preserve">Рое</w:t>
            </w:r>
            <w:r>
              <w:rPr>
                <w:rFonts w:ascii="Times New Roman" w:hAnsi="Times New Roman"/>
                <w:sz w:val="24"/>
                <w:szCs w:val="24"/>
              </w:rPr>
              <w:t xml:space="preserve">: 120 Вт для всіх портів;</w:t>
            </w:r>
            <w:r/>
          </w:p>
          <w:p>
            <w:pPr>
              <w:pStyle w:val="760"/>
              <w:spacing w:before="0" w:beforeAutospacing="0" w:after="0" w:afterAutospacing="0"/>
            </w:pPr>
            <w:r>
              <w:t xml:space="preserve">Робоча температура, °C:-20 ~ +50</w:t>
            </w:r>
            <w:bookmarkEnd w:id="2"/>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3</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Відеокамера  </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w:t>
            </w:r>
            <w:r/>
          </w:p>
        </w:tc>
      </w:tr>
      <w:tr>
        <w:trPr/>
        <w:tc>
          <w:tcPr>
            <w:gridSpan w:val="4"/>
            <w:tcW w:w="9634" w:type="dxa"/>
            <w:vAlign w:val="center"/>
            <w:textDirection w:val="lrTb"/>
            <w:noWrap w:val="false"/>
          </w:tcPr>
          <w:p>
            <w:pPr>
              <w:pStyle w:val="730"/>
            </w:pPr>
            <w:r>
              <w:t xml:space="preserve">Мініатюрна 3 </w:t>
            </w:r>
            <w:r>
              <w:t xml:space="preserve">мегапіксельна</w:t>
            </w:r>
            <w:r>
              <w:t xml:space="preserve"> IP відеокамера з інфрачервоним підсвічуванням. Камера повинна мати корпус </w:t>
            </w:r>
            <w:r>
              <w:rPr>
                <w:shd w:val="clear" w:color="auto" w:fill="ffffff"/>
              </w:rPr>
              <w:t xml:space="preserve">циліндричний</w:t>
            </w:r>
            <w:r>
              <w:t xml:space="preserve">. Зовнішні інтерфейси представлені у вигляді косички з двома роз’ємами тип мама: живлення DC 12В і мережевий інтерфейс RJ45 з підтримкою </w:t>
            </w:r>
            <w:r>
              <w:t xml:space="preserve">PoE</w:t>
            </w:r>
            <w:r>
              <w:t xml:space="preserve">. Камера повинна бути оснащена </w:t>
            </w:r>
            <w:r>
              <w:t xml:space="preserve">оснащена</w:t>
            </w:r>
            <w:r>
              <w:t xml:space="preserve"> сенсором 1/2.9 "з максимальною роздільною здатністю 4Мр і швидкістю запису 25 кадрів/с., режимом день/ніч з дальністю ІЧ підсвічування до 30 метрів. Експлуатація при температурах від -30 ° C до + 50 ° C, ступінь захисту відповідає стандарту IP67.</w:t>
            </w:r>
            <w:r/>
          </w:p>
          <w:p>
            <w:pPr>
              <w:pStyle w:val="721"/>
              <w:spacing w:before="0"/>
              <w:rPr>
                <w:rFonts w:ascii="Times New Roman" w:hAnsi="Times New Roman" w:cs="Times New Roman"/>
                <w:color w:val="auto"/>
              </w:rPr>
              <w:outlineLvl w:val="2"/>
            </w:pPr>
            <w:r>
              <w:rPr>
                <w:rFonts w:ascii="Times New Roman" w:hAnsi="Times New Roman" w:cs="Times New Roman"/>
                <w:color w:val="auto"/>
              </w:rPr>
              <w:t xml:space="preserve">Особливості:</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Максимальна роздільна здатність </w:t>
            </w:r>
            <w:r>
              <w:rPr>
                <w:rFonts w:ascii="Times New Roman" w:hAnsi="Times New Roman" w:cs="Times New Roman"/>
                <w:sz w:val="24"/>
                <w:szCs w:val="24"/>
                <w:shd w:val="clear" w:color="auto" w:fill="ffffff"/>
              </w:rPr>
              <w:t xml:space="preserve">2560x1440</w:t>
            </w:r>
            <w:r>
              <w:rPr>
                <w:rFonts w:ascii="Times New Roman" w:hAnsi="Times New Roman" w:cs="Times New Roman"/>
                <w:sz w:val="24"/>
                <w:szCs w:val="24"/>
              </w:rPr>
              <w:t xml:space="preserve"> (4МП )</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shd w:val="clear" w:color="auto" w:fill="ffffff"/>
              </w:rPr>
              <w:t xml:space="preserve">1/2.9 CMOS </w:t>
            </w:r>
            <w:r>
              <w:rPr>
                <w:rFonts w:ascii="Times New Roman" w:hAnsi="Times New Roman" w:cs="Times New Roman"/>
                <w:sz w:val="24"/>
                <w:szCs w:val="24"/>
                <w:shd w:val="clear" w:color="auto" w:fill="ffffff"/>
              </w:rPr>
              <w:t xml:space="preserve">Sensor</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Фокусна відстань :</w:t>
            </w:r>
            <w:r>
              <w:rPr>
                <w:rFonts w:ascii="Times New Roman" w:hAnsi="Times New Roman" w:cs="Times New Roman"/>
                <w:sz w:val="24"/>
                <w:szCs w:val="24"/>
                <w:shd w:val="clear" w:color="auto" w:fill="ffffff"/>
              </w:rPr>
              <w:t xml:space="preserve"> 3.6</w:t>
            </w:r>
            <w:r>
              <w:rPr>
                <w:rFonts w:ascii="Times New Roman" w:hAnsi="Times New Roman" w:cs="Times New Roman"/>
                <w:sz w:val="24"/>
                <w:szCs w:val="24"/>
              </w:rPr>
              <w:t xml:space="preserve">мм.</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shd w:val="clear" w:color="auto" w:fill="ffffff"/>
              </w:rPr>
              <w:t xml:space="preserve">Стиснення відео H.265</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Подвійний потік</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Ступінь захисту:IP67</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ІЧ до 30 метрів</w:t>
            </w:r>
            <w:r/>
          </w:p>
          <w:p>
            <w:pPr>
              <w:pStyle w:val="726"/>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Кут </w:t>
            </w:r>
            <w:r>
              <w:rPr>
                <w:rFonts w:ascii="Times New Roman" w:hAnsi="Times New Roman" w:cs="Times New Roman"/>
                <w:sz w:val="24"/>
                <w:szCs w:val="24"/>
                <w:shd w:val="clear" w:color="auto" w:fill="ffffff"/>
              </w:rPr>
              <w:t xml:space="preserve">огляду</w:t>
            </w:r>
            <w:r>
              <w:rPr>
                <w:rFonts w:ascii="Times New Roman" w:hAnsi="Times New Roman" w:cs="Times New Roman"/>
                <w:sz w:val="24"/>
                <w:szCs w:val="24"/>
                <w:shd w:val="clear" w:color="auto" w:fill="ffffff"/>
              </w:rPr>
              <w:t xml:space="preserve"> 90</w:t>
            </w:r>
            <w:r/>
          </w:p>
          <w:p>
            <w:pPr>
              <w:pStyle w:val="726"/>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Сумісність</w:t>
            </w:r>
            <w:r>
              <w:rPr>
                <w:rFonts w:ascii="Times New Roman" w:hAnsi="Times New Roman" w:cs="Times New Roman"/>
                <w:sz w:val="24"/>
                <w:szCs w:val="24"/>
              </w:rPr>
              <w:t xml:space="preserve">  ONVIF</w:t>
            </w:r>
            <w:r>
              <w:rPr>
                <w:rFonts w:ascii="Times New Roman" w:hAnsi="Times New Roman" w:cs="Times New Roman"/>
                <w:sz w:val="24"/>
                <w:szCs w:val="24"/>
              </w:rPr>
              <w:t xml:space="preserve">, RTSP, HIK, XM</w:t>
            </w:r>
            <w:r/>
          </w:p>
          <w:p>
            <w:pPr>
              <w:pStyle w:val="726"/>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Вага, </w:t>
            </w:r>
            <w:r>
              <w:rPr>
                <w:rFonts w:ascii="Times New Roman" w:hAnsi="Times New Roman" w:cs="Times New Roman"/>
                <w:sz w:val="24"/>
                <w:szCs w:val="24"/>
              </w:rPr>
              <w:t xml:space="preserve">кг  0.35</w:t>
            </w:r>
            <w:r/>
          </w:p>
          <w:p>
            <w:pPr>
              <w:numPr>
                <w:ilvl w:val="0"/>
                <w:numId w:val="32"/>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PoE</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4</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Реле</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2</w:t>
            </w:r>
            <w:r/>
          </w:p>
        </w:tc>
      </w:tr>
      <w:tr>
        <w:trPr/>
        <w:tc>
          <w:tcPr>
            <w:gridSpan w:val="4"/>
            <w:tcW w:w="9634" w:type="dxa"/>
            <w:vAlign w:val="center"/>
            <w:textDirection w:val="lrTb"/>
            <w:noWrap w:val="false"/>
          </w:tcPr>
          <w:p>
            <w:pPr>
              <w:pStyle w:val="730"/>
              <w:shd w:val="clear" w:color="auto" w:fill="ffffff"/>
            </w:pPr>
            <w:r>
              <w:t xml:space="preserve">Бездротове реле з сухим контактом </w:t>
            </w:r>
            <w:r>
              <w:rPr>
                <w:rStyle w:val="762"/>
                <w:b w:val="0"/>
                <w:bCs w:val="0"/>
              </w:rPr>
              <w:t xml:space="preserve">повинно</w:t>
            </w:r>
            <w:r>
              <w:t xml:space="preserve"> використовуватися для дистанційного керування побутовими приладами та дозволяти віддалено вмикати або вимикати прилади, живитися від джерела живлення 7-24 В постійного струму загальною потужністю не більше 3 кВт. Повинен працювати як кнопка або тумблер. </w:t>
            </w:r>
            <w:r/>
          </w:p>
          <w:p>
            <w:pPr>
              <w:pStyle w:val="722"/>
              <w:spacing w:before="0"/>
              <w:shd w:val="clear" w:color="auto" w:fill="ffffff"/>
              <w:rPr>
                <w:rFonts w:ascii="Times New Roman" w:hAnsi="Times New Roman" w:cs="Times New Roman"/>
                <w:color w:val="auto"/>
                <w:sz w:val="24"/>
                <w:szCs w:val="24"/>
              </w:rPr>
              <w:outlineLvl w:val="3"/>
            </w:pPr>
            <w:r>
              <w:rPr>
                <w:rStyle w:val="762"/>
                <w:rFonts w:ascii="Times New Roman" w:hAnsi="Times New Roman" w:cs="Times New Roman"/>
                <w:b w:val="0"/>
                <w:bCs w:val="0"/>
                <w:color w:val="auto"/>
                <w:sz w:val="24"/>
                <w:szCs w:val="24"/>
              </w:rPr>
              <w:t xml:space="preserve">Особливості:</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Дозволяє включати і вимикати прилади, віддалено за допомогою мобільного додатку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"https://itunes.apple.com/us/developer/ajax-systems-inc/id1063166246" \o "iOS" </w:instrText>
            </w:r>
            <w:r>
              <w:rPr>
                <w:rFonts w:ascii="Times New Roman" w:hAnsi="Times New Roman" w:cs="Times New Roman"/>
                <w:sz w:val="24"/>
                <w:szCs w:val="24"/>
              </w:rPr>
              <w:fldChar w:fldCharType="separate"/>
            </w:r>
            <w:r>
              <w:rPr>
                <w:rStyle w:val="735"/>
                <w:rFonts w:ascii="Times New Roman" w:hAnsi="Times New Roman" w:cs="Times New Roman"/>
                <w:sz w:val="24"/>
                <w:szCs w:val="24"/>
              </w:rPr>
              <w:t xml:space="preserve">iOS</w:t>
            </w:r>
            <w:r>
              <w:rPr>
                <w:rStyle w:val="735"/>
                <w:rFonts w:ascii="Times New Roman" w:hAnsi="Times New Roman" w:cs="Times New Roman"/>
                <w:sz w:val="24"/>
                <w:szCs w:val="24"/>
              </w:rPr>
              <w:fldChar w:fldCharType="end"/>
            </w:r>
            <w:r>
              <w:rPr>
                <w:rFonts w:ascii="Times New Roman" w:hAnsi="Times New Roman" w:cs="Times New Roman"/>
                <w:sz w:val="24"/>
                <w:szCs w:val="24"/>
              </w:rPr>
              <w:t xml:space="preserv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"https://play.google.com/store/apps/details?id=com.ajaxsystems" \o "Android" </w:instrText>
            </w:r>
            <w:r>
              <w:rPr>
                <w:rFonts w:ascii="Times New Roman" w:hAnsi="Times New Roman" w:cs="Times New Roman"/>
                <w:sz w:val="24"/>
                <w:szCs w:val="24"/>
              </w:rPr>
              <w:fldChar w:fldCharType="separate"/>
            </w:r>
            <w:r>
              <w:rPr>
                <w:rStyle w:val="735"/>
                <w:rFonts w:ascii="Times New Roman" w:hAnsi="Times New Roman" w:cs="Times New Roman"/>
                <w:sz w:val="24"/>
                <w:szCs w:val="24"/>
              </w:rPr>
              <w:t xml:space="preserve">Android</w:t>
            </w:r>
            <w:r>
              <w:rPr>
                <w:rStyle w:val="735"/>
                <w:rFonts w:ascii="Times New Roman" w:hAnsi="Times New Roman" w:cs="Times New Roman"/>
                <w:sz w:val="24"/>
                <w:szCs w:val="24"/>
              </w:rPr>
              <w:fldChar w:fldCharType="end"/>
            </w:r>
            <w:r>
              <w:rPr>
                <w:rFonts w:ascii="Times New Roman" w:hAnsi="Times New Roman" w:cs="Times New Roman"/>
                <w:sz w:val="24"/>
                <w:szCs w:val="24"/>
              </w:rPr>
              <w:t xml:space="preserve"> або браузера;</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Тримає зв'язок на відстані до 1000 метрів (за умови прямої видимості);</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Володіє функцією імпульсного режиму управління обладнанням;</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Для контролю працездатності </w:t>
            </w:r>
            <w:r>
              <w:rPr>
                <w:rFonts w:ascii="Times New Roman" w:hAnsi="Times New Roman" w:cs="Times New Roman"/>
                <w:sz w:val="24"/>
                <w:szCs w:val="24"/>
              </w:rPr>
              <w:t xml:space="preserve">пінгуєтся</w:t>
            </w:r>
            <w:r>
              <w:rPr>
                <w:rFonts w:ascii="Times New Roman" w:hAnsi="Times New Roman" w:cs="Times New Roman"/>
                <w:sz w:val="24"/>
                <w:szCs w:val="24"/>
              </w:rPr>
              <w:t xml:space="preserve"> з періодом від 12 секунд;</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Виносна антена для поліпшення прийому;</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Діапазон робочих </w:t>
            </w:r>
            <w:r>
              <w:rPr>
                <w:rFonts w:ascii="Times New Roman" w:hAnsi="Times New Roman" w:cs="Times New Roman"/>
                <w:sz w:val="24"/>
                <w:szCs w:val="24"/>
              </w:rPr>
              <w:t xml:space="preserve">напруг</w:t>
            </w:r>
            <w:r>
              <w:rPr>
                <w:rFonts w:ascii="Times New Roman" w:hAnsi="Times New Roman" w:cs="Times New Roman"/>
                <w:sz w:val="24"/>
                <w:szCs w:val="24"/>
              </w:rPr>
              <w:t xml:space="preserve">: 7 - 24 В;</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Зберігає настройки після перебоїв в живленні;</w:t>
            </w:r>
            <w:r/>
          </w:p>
          <w:p>
            <w:pPr>
              <w:pStyle w:val="742"/>
              <w:numPr>
                <w:ilvl w:val="0"/>
                <w:numId w:val="33"/>
              </w:numPr>
              <w:rPr>
                <w:rFonts w:ascii="Times New Roman" w:hAnsi="Times New Roman"/>
                <w:sz w:val="24"/>
                <w:szCs w:val="24"/>
              </w:rPr>
            </w:pPr>
            <w:r>
              <w:rPr>
                <w:rFonts w:ascii="Times New Roman" w:hAnsi="Times New Roman"/>
                <w:sz w:val="24"/>
                <w:szCs w:val="24"/>
              </w:rPr>
              <w:t xml:space="preserve">Захист від перепадів напруги і перегріву;</w:t>
            </w:r>
            <w:r/>
          </w:p>
          <w:p>
            <w:pPr>
              <w:numPr>
                <w:ilvl w:val="0"/>
                <w:numId w:val="33"/>
              </w:numPr>
              <w:shd w:val="clear" w:color="auto" w:fill="ffffff"/>
              <w:rPr>
                <w:rFonts w:ascii="Times New Roman" w:hAnsi="Times New Roman" w:cs="Times New Roman"/>
                <w:sz w:val="24"/>
                <w:szCs w:val="24"/>
              </w:rPr>
            </w:pPr>
            <w:r>
              <w:rPr>
                <w:rFonts w:ascii="Times New Roman" w:hAnsi="Times New Roman" w:cs="Times New Roman"/>
                <w:sz w:val="24"/>
                <w:szCs w:val="24"/>
              </w:rPr>
              <w:t xml:space="preserve">Встановлюється в типові коробки, електрощити, комутаційні корпусу.</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Кабель </w:t>
            </w:r>
            <w:r>
              <w:rPr>
                <w:rFonts w:ascii="Times New Roman" w:hAnsi="Times New Roman" w:cs="Times New Roman"/>
                <w:b/>
                <w:bCs/>
                <w:sz w:val="24"/>
                <w:szCs w:val="24"/>
                <w:lang w:eastAsia="ru-RU"/>
              </w:rPr>
              <w:t xml:space="preserve">волоконно</w:t>
            </w:r>
            <w:r>
              <w:rPr>
                <w:rFonts w:ascii="Times New Roman" w:hAnsi="Times New Roman" w:cs="Times New Roman"/>
                <w:b/>
                <w:bCs/>
                <w:sz w:val="24"/>
                <w:szCs w:val="24"/>
                <w:lang w:eastAsia="ru-RU"/>
              </w:rPr>
              <w:t xml:space="preserve">-оптичний</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м</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130</w:t>
            </w:r>
            <w:r/>
          </w:p>
        </w:tc>
      </w:tr>
      <w:tr>
        <w:trPr/>
        <w:tc>
          <w:tcPr>
            <w:gridSpan w:val="4"/>
            <w:tcW w:w="9634" w:type="dxa"/>
            <w:vAlign w:val="center"/>
            <w:textDirection w:val="lrTb"/>
            <w:noWrap w:val="false"/>
          </w:tcPr>
          <w:p>
            <w:pPr>
              <w:contextualSpacing/>
              <w:rPr>
                <w:rFonts w:ascii="Times New Roman" w:hAnsi="Times New Roman" w:cs="Times New Roman"/>
                <w:sz w:val="24"/>
                <w:szCs w:val="24"/>
                <w:shd w:val="clear" w:color="auto" w:fill="fbfbfb"/>
              </w:rPr>
            </w:pPr>
            <w:r>
              <w:rPr>
                <w:rFonts w:ascii="Times New Roman" w:hAnsi="Times New Roman" w:cs="Times New Roman"/>
                <w:sz w:val="24"/>
                <w:szCs w:val="24"/>
                <w:shd w:val="clear" w:color="auto" w:fill="fbfbfb"/>
              </w:rPr>
              <w:t xml:space="preserve">Кабель </w:t>
            </w:r>
            <w:r>
              <w:rPr>
                <w:rFonts w:ascii="Times New Roman" w:hAnsi="Times New Roman" w:cs="Times New Roman"/>
                <w:sz w:val="24"/>
                <w:szCs w:val="24"/>
                <w:shd w:val="clear" w:color="auto" w:fill="fbfbfb"/>
              </w:rPr>
              <w:t xml:space="preserve">волоконно</w:t>
            </w:r>
            <w:r>
              <w:rPr>
                <w:rFonts w:ascii="Times New Roman" w:hAnsi="Times New Roman" w:cs="Times New Roman"/>
                <w:sz w:val="24"/>
                <w:szCs w:val="24"/>
                <w:shd w:val="clear" w:color="auto" w:fill="fbfbfb"/>
              </w:rPr>
              <w:t xml:space="preserve">-оптичний призначений для зовнішньої прокладки, повинен підходить для використання в повітроводах і прокладки в </w:t>
            </w:r>
            <w:r>
              <w:rPr>
                <w:rFonts w:ascii="Times New Roman" w:hAnsi="Times New Roman" w:cs="Times New Roman"/>
                <w:sz w:val="24"/>
                <w:szCs w:val="24"/>
                <w:shd w:val="clear" w:color="auto" w:fill="fbfbfb"/>
              </w:rPr>
              <w:t xml:space="preserve">грунті</w:t>
            </w:r>
            <w:r>
              <w:rPr>
                <w:rFonts w:ascii="Times New Roman" w:hAnsi="Times New Roman" w:cs="Times New Roman"/>
                <w:sz w:val="24"/>
                <w:szCs w:val="24"/>
                <w:shd w:val="clear" w:color="auto" w:fill="fbfbfb"/>
              </w:rPr>
              <w:t xml:space="preserve">. </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Основні характеристики:</w:t>
            </w:r>
            <w:r/>
          </w:p>
          <w:p>
            <w:pPr>
              <w:numPr>
                <w:ilvl w:val="0"/>
                <w:numId w:val="34"/>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Кількість волокон: 8 </w:t>
            </w:r>
            <w:r/>
          </w:p>
          <w:p>
            <w:pPr>
              <w:numPr>
                <w:ilvl w:val="0"/>
                <w:numId w:val="34"/>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Використовується для зовнішньої прокладки, підходить для використання в повітроводах і прокладки в </w:t>
            </w:r>
            <w:r>
              <w:rPr>
                <w:rFonts w:ascii="Times New Roman" w:hAnsi="Times New Roman" w:eastAsia="Times New Roman" w:cs="Times New Roman"/>
                <w:sz w:val="24"/>
                <w:szCs w:val="24"/>
                <w:lang w:eastAsia="uk-UA"/>
              </w:rPr>
              <w:t xml:space="preserve">грунті</w:t>
            </w:r>
            <w:r/>
          </w:p>
          <w:p>
            <w:pPr>
              <w:numPr>
                <w:ilvl w:val="0"/>
                <w:numId w:val="34"/>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Броня - </w:t>
            </w:r>
            <w:r>
              <w:rPr>
                <w:rFonts w:ascii="Times New Roman" w:hAnsi="Times New Roman" w:eastAsia="Times New Roman" w:cs="Times New Roman"/>
                <w:sz w:val="24"/>
                <w:szCs w:val="24"/>
                <w:lang w:eastAsia="uk-UA"/>
              </w:rPr>
              <w:t xml:space="preserve">гофована</w:t>
            </w:r>
            <w:r>
              <w:rPr>
                <w:rFonts w:ascii="Times New Roman" w:hAnsi="Times New Roman" w:eastAsia="Times New Roman" w:cs="Times New Roman"/>
                <w:sz w:val="24"/>
                <w:szCs w:val="24"/>
                <w:lang w:eastAsia="uk-UA"/>
              </w:rPr>
              <w:t xml:space="preserve"> сталева </w:t>
            </w:r>
            <w:r>
              <w:rPr>
                <w:rFonts w:ascii="Times New Roman" w:hAnsi="Times New Roman" w:eastAsia="Times New Roman" w:cs="Times New Roman"/>
                <w:sz w:val="24"/>
                <w:szCs w:val="24"/>
                <w:lang w:eastAsia="uk-UA"/>
              </w:rPr>
              <w:t xml:space="preserve">стрічкая</w:t>
            </w:r>
            <w:r/>
          </w:p>
          <w:p>
            <w:pPr>
              <w:numPr>
                <w:ilvl w:val="0"/>
                <w:numId w:val="34"/>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Тип кабелю: UT</w:t>
            </w:r>
            <w:r/>
          </w:p>
          <w:p>
            <w:pPr>
              <w:numPr>
                <w:ilvl w:val="0"/>
                <w:numId w:val="34"/>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Зовнішня оболонка з поліетилену </w:t>
            </w:r>
            <w:r/>
          </w:p>
          <w:p>
            <w:pPr>
              <w:numPr>
                <w:ilvl w:val="0"/>
                <w:numId w:val="34"/>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Навантаження на розтяг - 1,5 </w:t>
            </w:r>
            <w:r>
              <w:rPr>
                <w:rFonts w:ascii="Times New Roman" w:hAnsi="Times New Roman" w:eastAsia="Times New Roman" w:cs="Times New Roman"/>
                <w:sz w:val="24"/>
                <w:szCs w:val="24"/>
                <w:lang w:eastAsia="uk-UA"/>
              </w:rPr>
              <w:t xml:space="preserve">кН</w:t>
            </w:r>
            <w:r/>
          </w:p>
          <w:p>
            <w:pPr>
              <w:numPr>
                <w:ilvl w:val="0"/>
                <w:numId w:val="34"/>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Колірне маркування волокон-червоний/зелений/синій/жовтий/білий/сірий/коричневий/фіолетовий</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6</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Медіаконвектор</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10</w:t>
            </w:r>
            <w:r/>
          </w:p>
        </w:tc>
      </w:tr>
      <w:tr>
        <w:trPr/>
        <w:tc>
          <w:tcPr>
            <w:gridSpan w:val="4"/>
            <w:tcW w:w="9634" w:type="dxa"/>
            <w:vAlign w:val="center"/>
            <w:textDirection w:val="lrTb"/>
            <w:noWrap w:val="false"/>
          </w:tcPr>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Тип волокна MM (</w:t>
            </w:r>
            <w:r>
              <w:rPr>
                <w:rFonts w:ascii="Times New Roman" w:hAnsi="Times New Roman" w:eastAsia="Times New Roman" w:cs="Times New Roman"/>
                <w:sz w:val="24"/>
                <w:szCs w:val="24"/>
                <w:lang w:eastAsia="uk-UA"/>
              </w:rPr>
              <w:t xml:space="preserve">Multimode</w:t>
            </w:r>
            <w:r>
              <w:rPr>
                <w:rFonts w:ascii="Times New Roman" w:hAnsi="Times New Roman" w:eastAsia="Times New Roman" w:cs="Times New Roman"/>
                <w:sz w:val="24"/>
                <w:szCs w:val="24"/>
                <w:lang w:eastAsia="uk-UA"/>
              </w:rPr>
              <w:t xml:space="preserve">)</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Мережеві інтерфейси Порт 1000Base-T. Порт 1000Base-SX з роз'ємом SC</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Інші інтерфейси Роз'єм для підключення адаптера живлення</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Параметри навколишнього середовища Температура: робоча – від 0 до 40 °C, зберігання – від -25 до 70 °C. Вологість: від 10 до 90% без конденсату.</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Підтримка </w:t>
            </w:r>
            <w:r>
              <w:rPr>
                <w:rFonts w:ascii="Times New Roman" w:hAnsi="Times New Roman" w:eastAsia="Times New Roman" w:cs="Times New Roman"/>
                <w:sz w:val="24"/>
                <w:szCs w:val="24"/>
                <w:lang w:eastAsia="uk-UA"/>
              </w:rPr>
              <w:t xml:space="preserve">PoE</w:t>
            </w:r>
            <w:r>
              <w:rPr>
                <w:rFonts w:ascii="Times New Roman" w:hAnsi="Times New Roman" w:eastAsia="Times New Roman" w:cs="Times New Roman"/>
                <w:sz w:val="24"/>
                <w:szCs w:val="24"/>
                <w:lang w:eastAsia="uk-UA"/>
              </w:rPr>
              <w:t xml:space="preserve"> Ні</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Джерело живлення 5 В / 1 А</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Споживана потужність до 2,575 Вт</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Комплектація </w:t>
            </w:r>
            <w:r>
              <w:rPr>
                <w:rFonts w:ascii="Times New Roman" w:hAnsi="Times New Roman" w:eastAsia="Times New Roman" w:cs="Times New Roman"/>
                <w:sz w:val="24"/>
                <w:szCs w:val="24"/>
                <w:lang w:eastAsia="uk-UA"/>
              </w:rPr>
              <w:t xml:space="preserve">Медіаконвертер</w:t>
            </w:r>
            <w:r>
              <w:rPr>
                <w:rFonts w:ascii="Times New Roman" w:hAnsi="Times New Roman" w:eastAsia="Times New Roman" w:cs="Times New Roman"/>
                <w:sz w:val="24"/>
                <w:szCs w:val="24"/>
                <w:lang w:eastAsia="uk-UA"/>
              </w:rPr>
              <w:t xml:space="preserve">; Адаптер живлення; Короткий посібник із встановлення.</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Розміри 88 x 120 x 25 мм</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Вага 302 г</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Інше Індикатори: PWR, </w:t>
            </w:r>
            <w:r>
              <w:rPr>
                <w:rFonts w:ascii="Times New Roman" w:hAnsi="Times New Roman" w:eastAsia="Times New Roman" w:cs="Times New Roman"/>
                <w:sz w:val="24"/>
                <w:szCs w:val="24"/>
                <w:lang w:eastAsia="uk-UA"/>
              </w:rPr>
              <w:t xml:space="preserve">Link</w:t>
            </w:r>
            <w:r>
              <w:rPr>
                <w:rFonts w:ascii="Times New Roman" w:hAnsi="Times New Roman" w:eastAsia="Times New Roman" w:cs="Times New Roman"/>
                <w:sz w:val="24"/>
                <w:szCs w:val="24"/>
                <w:lang w:eastAsia="uk-UA"/>
              </w:rPr>
              <w:t xml:space="preserve">/</w:t>
            </w:r>
            <w:r>
              <w:rPr>
                <w:rFonts w:ascii="Times New Roman" w:hAnsi="Times New Roman" w:eastAsia="Times New Roman" w:cs="Times New Roman"/>
                <w:sz w:val="24"/>
                <w:szCs w:val="24"/>
                <w:lang w:eastAsia="uk-UA"/>
              </w:rPr>
              <w:t xml:space="preserve">Act</w:t>
            </w:r>
            <w:r>
              <w:rPr>
                <w:rFonts w:ascii="Times New Roman" w:hAnsi="Times New Roman" w:eastAsia="Times New Roman" w:cs="Times New Roman"/>
                <w:sz w:val="24"/>
                <w:szCs w:val="24"/>
                <w:lang w:eastAsia="uk-UA"/>
              </w:rPr>
              <w:t xml:space="preserve">. Перемикачі: Режим роботи оптичного порту (Фіксований/</w:t>
            </w:r>
            <w:r>
              <w:rPr>
                <w:rFonts w:ascii="Times New Roman" w:hAnsi="Times New Roman" w:eastAsia="Times New Roman" w:cs="Times New Roman"/>
                <w:sz w:val="24"/>
                <w:szCs w:val="24"/>
                <w:lang w:eastAsia="uk-UA"/>
              </w:rPr>
              <w:t xml:space="preserve">Автоузгодження</w:t>
            </w:r>
            <w:r>
              <w:rPr>
                <w:rFonts w:ascii="Times New Roman" w:hAnsi="Times New Roman" w:eastAsia="Times New Roman" w:cs="Times New Roman"/>
                <w:sz w:val="24"/>
                <w:szCs w:val="24"/>
                <w:lang w:eastAsia="uk-UA"/>
              </w:rPr>
              <w:t xml:space="preserve">), LLR. Підтримка стандартів: IEEE 802.3ab 1000Base-T, IEEE 802.3z 1000Base-SX. Дуплексний режим: Повний дуплекс. Швидкість передачі: до 2000 Мбіт/с (повний дуплекс). Функції: автоматичне визначення MDI/MDIX, передача повної швидкості каналу, LLR (</w:t>
            </w:r>
            <w:r>
              <w:rPr>
                <w:rFonts w:ascii="Times New Roman" w:hAnsi="Times New Roman" w:eastAsia="Times New Roman" w:cs="Times New Roman"/>
                <w:sz w:val="24"/>
                <w:szCs w:val="24"/>
                <w:lang w:eastAsia="uk-UA"/>
              </w:rPr>
              <w:t xml:space="preserve">Link</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sz w:val="24"/>
                <w:szCs w:val="24"/>
                <w:lang w:eastAsia="uk-UA"/>
              </w:rPr>
              <w:t xml:space="preserve">Loss</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sz w:val="24"/>
                <w:szCs w:val="24"/>
                <w:lang w:eastAsia="uk-UA"/>
              </w:rPr>
              <w:t xml:space="preserve">Return</w:t>
            </w:r>
            <w:r>
              <w:rPr>
                <w:rFonts w:ascii="Times New Roman" w:hAnsi="Times New Roman" w:eastAsia="Times New Roman" w:cs="Times New Roman"/>
                <w:sz w:val="24"/>
                <w:szCs w:val="24"/>
                <w:lang w:eastAsia="uk-UA"/>
              </w:rPr>
              <w:t xml:space="preserve">), LLCF (</w:t>
            </w:r>
            <w:r>
              <w:rPr>
                <w:rFonts w:ascii="Times New Roman" w:hAnsi="Times New Roman" w:eastAsia="Times New Roman" w:cs="Times New Roman"/>
                <w:sz w:val="24"/>
                <w:szCs w:val="24"/>
                <w:lang w:eastAsia="uk-UA"/>
              </w:rPr>
              <w:t xml:space="preserve">Link</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sz w:val="24"/>
                <w:szCs w:val="24"/>
                <w:lang w:eastAsia="uk-UA"/>
              </w:rPr>
              <w:t xml:space="preserve">Loss</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sz w:val="24"/>
                <w:szCs w:val="24"/>
                <w:lang w:eastAsia="uk-UA"/>
              </w:rPr>
              <w:t xml:space="preserve">Carry</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sz w:val="24"/>
                <w:szCs w:val="24"/>
                <w:lang w:eastAsia="uk-UA"/>
              </w:rPr>
              <w:t xml:space="preserve">Forward</w:t>
            </w:r>
            <w:r>
              <w:rPr>
                <w:rFonts w:ascii="Times New Roman" w:hAnsi="Times New Roman" w:eastAsia="Times New Roman" w:cs="Times New Roman"/>
                <w:sz w:val="24"/>
                <w:szCs w:val="24"/>
                <w:lang w:eastAsia="uk-UA"/>
              </w:rPr>
              <w:t xml:space="preserve">). Можливість використання як окремий пристрій або при установці в шасі. Гаряча заміна при встановленні в шасі. Метод комутації: </w:t>
            </w:r>
            <w:r>
              <w:rPr>
                <w:rFonts w:ascii="Times New Roman" w:hAnsi="Times New Roman" w:eastAsia="Times New Roman" w:cs="Times New Roman"/>
                <w:sz w:val="24"/>
                <w:szCs w:val="24"/>
                <w:lang w:eastAsia="uk-UA"/>
              </w:rPr>
              <w:t xml:space="preserve">Store-and-forward</w:t>
            </w:r>
            <w:r>
              <w:rPr>
                <w:rFonts w:ascii="Times New Roman" w:hAnsi="Times New Roman" w:eastAsia="Times New Roman" w:cs="Times New Roman"/>
                <w:sz w:val="24"/>
                <w:szCs w:val="24"/>
                <w:lang w:eastAsia="uk-UA"/>
              </w:rPr>
              <w:t xml:space="preserve">. Максимальний розмір кадру: без обмежень. Управління: через шасі DMC-1000 із встановленим модулем управління DMC-1002. MTBF: 669 668 годин</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Довжина хвилі, нм 850</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Робоча дистанція 550м</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Тип </w:t>
            </w:r>
            <w:r>
              <w:rPr>
                <w:rFonts w:ascii="Times New Roman" w:hAnsi="Times New Roman" w:eastAsia="Times New Roman" w:cs="Times New Roman"/>
                <w:sz w:val="24"/>
                <w:szCs w:val="24"/>
                <w:lang w:eastAsia="uk-UA"/>
              </w:rPr>
              <w:t xml:space="preserve">конектора</w:t>
            </w:r>
            <w:r>
              <w:rPr>
                <w:rFonts w:ascii="Times New Roman" w:hAnsi="Times New Roman" w:eastAsia="Times New Roman" w:cs="Times New Roman"/>
                <w:sz w:val="24"/>
                <w:szCs w:val="24"/>
                <w:lang w:eastAsia="uk-UA"/>
              </w:rPr>
              <w:t xml:space="preserve"> RJ-45, SC</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Інтерфейси 1000Base-SX, 1Gbit </w:t>
            </w:r>
            <w:r>
              <w:rPr>
                <w:rFonts w:ascii="Times New Roman" w:hAnsi="Times New Roman" w:eastAsia="Times New Roman" w:cs="Times New Roman"/>
                <w:sz w:val="24"/>
                <w:szCs w:val="24"/>
                <w:lang w:eastAsia="uk-UA"/>
              </w:rPr>
              <w:t xml:space="preserve">Ethernet</w:t>
            </w:r>
            <w:r>
              <w:rPr>
                <w:rFonts w:ascii="Times New Roman" w:hAnsi="Times New Roman" w:eastAsia="Times New Roman" w:cs="Times New Roman"/>
                <w:sz w:val="24"/>
                <w:szCs w:val="24"/>
                <w:lang w:eastAsia="uk-UA"/>
              </w:rPr>
              <w:t xml:space="preserve">, RJ-45</w:t>
            </w:r>
            <w:r/>
          </w:p>
          <w:p>
            <w:pPr>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Швидкість передачі даних 1 </w:t>
            </w:r>
            <w:r>
              <w:rPr>
                <w:rFonts w:ascii="Times New Roman" w:hAnsi="Times New Roman" w:eastAsia="Times New Roman" w:cs="Times New Roman"/>
                <w:sz w:val="24"/>
                <w:szCs w:val="24"/>
                <w:lang w:eastAsia="uk-UA"/>
              </w:rPr>
              <w:t xml:space="preserve">Гб</w:t>
            </w:r>
            <w:r>
              <w:rPr>
                <w:rFonts w:ascii="Times New Roman" w:hAnsi="Times New Roman" w:eastAsia="Times New Roman" w:cs="Times New Roman"/>
                <w:sz w:val="24"/>
                <w:szCs w:val="24"/>
                <w:lang w:eastAsia="uk-UA"/>
              </w:rPr>
              <w:t xml:space="preserve">/с</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7</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Гнучка труба</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м</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130</w:t>
            </w:r>
            <w:r/>
          </w:p>
        </w:tc>
      </w:tr>
      <w:tr>
        <w:trPr/>
        <w:tc>
          <w:tcPr>
            <w:gridSpan w:val="4"/>
            <w:tcW w:w="9634" w:type="dxa"/>
            <w:vAlign w:val="center"/>
            <w:textDirection w:val="lrTb"/>
            <w:noWrap w:val="false"/>
          </w:tcPr>
          <w:p>
            <w:pPr>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Довжина:</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30 м Матеріал:</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ПВХ Довжина бухти:</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30 м Діаметр системи поливу:</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1/2'' Кратність продажу </w:t>
            </w:r>
            <w:r>
              <w:rPr>
                <w:rFonts w:ascii="Times New Roman" w:hAnsi="Times New Roman" w:cs="Times New Roman"/>
                <w:sz w:val="24"/>
                <w:szCs w:val="24"/>
                <w:shd w:val="clear" w:color="auto" w:fill="ffffff"/>
              </w:rPr>
              <w:t xml:space="preserve">шланга</w:t>
            </w:r>
            <w:r>
              <w:rPr>
                <w:rFonts w:ascii="Times New Roman" w:hAnsi="Times New Roman" w:cs="Times New Roman"/>
                <w:sz w:val="24"/>
                <w:szCs w:val="24"/>
                <w:shd w:val="clear" w:color="auto" w:fill="ffffff"/>
              </w:rPr>
              <w:t xml:space="preserve">:</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в упаковці Вид фурнітури:</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розбризкувач</w:t>
            </w:r>
            <w:r>
              <w:rPr>
                <w:rFonts w:ascii="Times New Roman" w:hAnsi="Times New Roman" w:cs="Times New Roman"/>
                <w:sz w:val="24"/>
                <w:szCs w:val="24"/>
                <w:shd w:val="clear" w:color="auto" w:fill="ffffff"/>
              </w:rPr>
              <w:t xml:space="preserve"> Діаметр </w:t>
            </w:r>
            <w:r>
              <w:rPr>
                <w:rFonts w:ascii="Times New Roman" w:hAnsi="Times New Roman" w:cs="Times New Roman"/>
                <w:sz w:val="24"/>
                <w:szCs w:val="24"/>
                <w:shd w:val="clear" w:color="auto" w:fill="ffffff"/>
              </w:rPr>
              <w:t xml:space="preserve">шланга</w:t>
            </w:r>
            <w:r>
              <w:rPr>
                <w:rFonts w:ascii="Times New Roman" w:hAnsi="Times New Roman" w:cs="Times New Roman"/>
                <w:sz w:val="24"/>
                <w:szCs w:val="24"/>
                <w:shd w:val="clear" w:color="auto" w:fill="ffffff"/>
              </w:rPr>
              <w:t xml:space="preserve"> внутрішній:</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1,2 см.</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8</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Блок управління замком</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c>
          <w:tcPr>
            <w:gridSpan w:val="4"/>
            <w:tcW w:w="9634" w:type="dxa"/>
            <w:vAlign w:val="center"/>
            <w:textDirection w:val="lrTb"/>
            <w:noWrap w:val="false"/>
          </w:tcPr>
          <w:p>
            <w:p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Використовується для відкриття електромеханічного замку без додаткового блоку живлення;</w:t>
            </w:r>
            <w:r/>
          </w:p>
          <w:p>
            <w:p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Може працювати з усіма видами </w:t>
            </w:r>
            <w:r>
              <w:rPr>
                <w:rFonts w:ascii="Times New Roman" w:hAnsi="Times New Roman" w:eastAsia="Times New Roman" w:cs="Times New Roman"/>
                <w:sz w:val="24"/>
                <w:szCs w:val="24"/>
                <w:lang w:eastAsia="uk-UA"/>
              </w:rPr>
              <w:t xml:space="preserve">домофонів</w:t>
            </w:r>
            <w:r>
              <w:rPr>
                <w:rFonts w:ascii="Times New Roman" w:hAnsi="Times New Roman" w:eastAsia="Times New Roman" w:cs="Times New Roman"/>
                <w:sz w:val="24"/>
                <w:szCs w:val="24"/>
                <w:lang w:eastAsia="uk-UA"/>
              </w:rPr>
              <w:t xml:space="preserve">, електромеханічних замків і засувок;</w:t>
            </w:r>
            <w:r/>
          </w:p>
          <w:p>
            <w:p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Вхідна напруга: 9 ~ 15 В;</w:t>
            </w:r>
            <w:r/>
          </w:p>
          <w:p>
            <w:p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Струм при заряді: 80 </w:t>
            </w:r>
            <w:r>
              <w:rPr>
                <w:rFonts w:ascii="Times New Roman" w:hAnsi="Times New Roman" w:eastAsia="Times New Roman" w:cs="Times New Roman"/>
                <w:sz w:val="24"/>
                <w:szCs w:val="24"/>
                <w:lang w:eastAsia="uk-UA"/>
              </w:rPr>
              <w:t xml:space="preserve">мА</w:t>
            </w:r>
            <w:r>
              <w:rPr>
                <w:rFonts w:ascii="Times New Roman" w:hAnsi="Times New Roman" w:eastAsia="Times New Roman" w:cs="Times New Roman"/>
                <w:sz w:val="24"/>
                <w:szCs w:val="24"/>
                <w:lang w:eastAsia="uk-UA"/>
              </w:rPr>
              <w:t xml:space="preserve"> (&lt;0,5 с);</w:t>
            </w:r>
            <w:r/>
          </w:p>
          <w:p>
            <w:p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Струм в режимі очікування: 0 </w:t>
            </w:r>
            <w:r>
              <w:rPr>
                <w:rFonts w:ascii="Times New Roman" w:hAnsi="Times New Roman" w:eastAsia="Times New Roman" w:cs="Times New Roman"/>
                <w:sz w:val="24"/>
                <w:szCs w:val="24"/>
                <w:lang w:eastAsia="uk-UA"/>
              </w:rPr>
              <w:t xml:space="preserve">мА</w:t>
            </w:r>
            <w:r>
              <w:rPr>
                <w:rFonts w:ascii="Times New Roman" w:hAnsi="Times New Roman" w:eastAsia="Times New Roman" w:cs="Times New Roman"/>
                <w:sz w:val="24"/>
                <w:szCs w:val="24"/>
                <w:lang w:eastAsia="uk-UA"/>
              </w:rPr>
              <w:t xml:space="preserve">;</w:t>
            </w:r>
            <w:r/>
          </w:p>
          <w:p>
            <w:p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Захист від залипання котушки, </w:t>
            </w:r>
            <w:r>
              <w:rPr>
                <w:rFonts w:ascii="Times New Roman" w:hAnsi="Times New Roman" w:eastAsia="Times New Roman" w:cs="Times New Roman"/>
                <w:sz w:val="24"/>
                <w:szCs w:val="24"/>
                <w:lang w:eastAsia="uk-UA"/>
              </w:rPr>
              <w:t xml:space="preserve">переплюсовкі</w:t>
            </w:r>
            <w:r>
              <w:rPr>
                <w:rFonts w:ascii="Times New Roman" w:hAnsi="Times New Roman" w:eastAsia="Times New Roman" w:cs="Times New Roman"/>
                <w:sz w:val="24"/>
                <w:szCs w:val="24"/>
                <w:lang w:eastAsia="uk-UA"/>
              </w:rPr>
              <w:t xml:space="preserve">, зворотної напруги;</w:t>
            </w:r>
            <w:r/>
          </w:p>
          <w:p>
            <w:p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Робоча температура: -30 ° C ~ + 70 ° C;</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9</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Датчик</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w:t>
            </w:r>
            <w:r/>
          </w:p>
        </w:tc>
      </w:tr>
      <w:tr>
        <w:trPr/>
        <w:tc>
          <w:tcPr>
            <w:gridSpan w:val="4"/>
            <w:tcW w:w="9634" w:type="dxa"/>
            <w:vAlign w:val="center"/>
            <w:textDirection w:val="lrTb"/>
            <w:noWrap w:val="false"/>
          </w:tcPr>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Бездротовий охоронний оптико-електронний </w:t>
            </w:r>
            <w:r>
              <w:rPr>
                <w:rFonts w:ascii="Times New Roman" w:hAnsi="Times New Roman" w:eastAsia="Times New Roman" w:cs="Times New Roman"/>
                <w:sz w:val="24"/>
                <w:szCs w:val="24"/>
                <w:lang w:eastAsia="uk-UA"/>
              </w:rPr>
              <w:t xml:space="preserve">радіоканальний</w:t>
            </w:r>
            <w:r>
              <w:rPr>
                <w:rFonts w:ascii="Times New Roman" w:hAnsi="Times New Roman" w:eastAsia="Times New Roman" w:cs="Times New Roman"/>
                <w:sz w:val="24"/>
                <w:szCs w:val="24"/>
                <w:lang w:eastAsia="uk-UA"/>
              </w:rPr>
              <w:t xml:space="preserve"> сповіщувач з фотокамерою;</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Діяльність визначення руху - до 12 метрів;</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Ігнорує домашніх тварин вагою до 20 кг, висотою до 50 см;</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Кут огляду датчика руху: по горизонталі 88.5 °, по вертикалі 80 °;</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Кут огляду камери 90 °;</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Час доставки сигналу тривозі 0.15 с;</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Час доставки фотографії при настройках за умовчанням: до 9 секунд;</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Роздільна здатність фото: до 640 × 480 пікселів, серія містить до 5 знімків;</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Інфрачервоне підсвічування для зйомки в темряві;</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Максимальна відстань між датчиком і центральним блоком становить 1700 м в умовах прямої видимості;</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Датчик використовує для передачі сигналу частоту загального призначення 868 МГц, яка не вимагає ліцензії на використання;</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Легко встановлюється і налаштовується без спеціальних знань;</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Монтаж датчика за допомогою смарт-</w:t>
            </w:r>
            <w:r>
              <w:rPr>
                <w:rFonts w:ascii="Times New Roman" w:hAnsi="Times New Roman" w:eastAsia="Times New Roman" w:cs="Times New Roman"/>
                <w:sz w:val="24"/>
                <w:szCs w:val="24"/>
                <w:lang w:eastAsia="uk-UA"/>
              </w:rPr>
              <w:t xml:space="preserve">креплени</w:t>
            </w:r>
            <w:r>
              <w:rPr>
                <w:rFonts w:ascii="Times New Roman" w:hAnsi="Times New Roman" w:eastAsia="Times New Roman" w:cs="Times New Roman"/>
                <w:sz w:val="24"/>
                <w:szCs w:val="24"/>
                <w:lang w:eastAsia="uk-UA"/>
              </w:rPr>
              <w:t xml:space="preserve"> й зручний і не зашкодить ремонт;</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Датчик регулярно передає сигнали тестування на центральний блок, причому період опитування датчиків можна регулювати за власним розсудом. У разі, якщо датчик спробують вкрасти або зламати, централь охоронної системи негайно дізнається про це і </w:t>
            </w:r>
            <w:r>
              <w:rPr>
                <w:rFonts w:ascii="Times New Roman" w:hAnsi="Times New Roman" w:eastAsia="Times New Roman" w:cs="Times New Roman"/>
                <w:sz w:val="24"/>
                <w:szCs w:val="24"/>
                <w:lang w:eastAsia="uk-UA"/>
              </w:rPr>
              <w:t xml:space="preserve">видасть</w:t>
            </w:r>
            <w:r>
              <w:rPr>
                <w:rFonts w:ascii="Times New Roman" w:hAnsi="Times New Roman" w:eastAsia="Times New Roman" w:cs="Times New Roman"/>
                <w:sz w:val="24"/>
                <w:szCs w:val="24"/>
                <w:lang w:eastAsia="uk-UA"/>
              </w:rPr>
              <w:t xml:space="preserve"> сигнал тривоги;</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Для надійного контролю роботи систем сигналізації датчик регулярно передає сигнал про розряд своєї батареї на центральний блок, користувач буде своєчасно сповіщений про необхідність замінити батарею в датчику;</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Передана датчиком інформація захищена від перехоплення і спроби підміни;</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Чутливість датчика регулюється. Можна підібрати оптимальну чутливість датчика виходячи з розмірів домашньої тварини, яке буде знаходитися в приміщенні;</w:t>
            </w:r>
            <w:r/>
          </w:p>
          <w:p>
            <w:pPr>
              <w:numPr>
                <w:ilvl w:val="0"/>
                <w:numId w:val="35"/>
              </w:numPr>
              <w:shd w:val="clear" w:color="auto" w:fill="ffffff"/>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Корпус датчика захищений від розтину </w:t>
            </w:r>
            <w:r>
              <w:rPr>
                <w:rFonts w:ascii="Times New Roman" w:hAnsi="Times New Roman" w:eastAsia="Times New Roman" w:cs="Times New Roman"/>
                <w:sz w:val="24"/>
                <w:szCs w:val="24"/>
                <w:lang w:eastAsia="uk-UA"/>
              </w:rPr>
              <w:t xml:space="preserve">тампер</w:t>
            </w:r>
            <w:r>
              <w:rPr>
                <w:rFonts w:ascii="Times New Roman" w:hAnsi="Times New Roman" w:eastAsia="Times New Roman" w:cs="Times New Roman"/>
                <w:sz w:val="24"/>
                <w:szCs w:val="24"/>
                <w:lang w:eastAsia="uk-UA"/>
              </w:rPr>
              <w:t xml:space="preserve">;</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10</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Оптичний </w:t>
            </w:r>
            <w:r>
              <w:rPr>
                <w:rFonts w:ascii="Times New Roman" w:hAnsi="Times New Roman" w:cs="Times New Roman"/>
                <w:b/>
                <w:bCs/>
                <w:sz w:val="24"/>
                <w:szCs w:val="24"/>
                <w:lang w:eastAsia="ru-RU"/>
              </w:rPr>
              <w:t xml:space="preserve">мікробокс</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3</w:t>
            </w:r>
            <w:r/>
          </w:p>
        </w:tc>
      </w:tr>
      <w:tr>
        <w:trPr/>
        <w:tc>
          <w:tcPr>
            <w:gridSpan w:val="4"/>
            <w:tcW w:w="9634" w:type="dxa"/>
            <w:vAlign w:val="center"/>
            <w:textDirection w:val="lrTb"/>
            <w:noWrap w:val="false"/>
          </w:tcPr>
          <w:p>
            <w:pPr>
              <w:pStyle w:val="730"/>
              <w:ind w:left="22"/>
            </w:pPr>
            <w:r>
              <w:t xml:space="preserve">Настінний оптичний міні-бокс.</w:t>
            </w:r>
            <w:r>
              <w:br/>
              <w:t xml:space="preserve">Дозволяє зрощувати до 6-12 оптичних волокон.</w:t>
            </w:r>
            <w:r>
              <w:br/>
              <w:t xml:space="preserve">Місця під оптичні адаптери: до 4-х.</w:t>
            </w:r>
            <w:r>
              <w:br/>
              <w:t xml:space="preserve">Ємність-від 6 до 12 сварок.</w:t>
            </w:r>
            <w:r>
              <w:br/>
              <w:t xml:space="preserve">Введення двох оптичних кабелів.</w:t>
            </w:r>
            <w:r/>
          </w:p>
          <w:p>
            <w:pPr>
              <w:pStyle w:val="730"/>
              <w:ind w:left="22"/>
              <w:rPr>
                <w:rStyle w:val="762"/>
                <w:b w:val="0"/>
                <w:bCs w:val="0"/>
              </w:rPr>
            </w:pPr>
            <w:r>
              <w:rPr>
                <w:rStyle w:val="762"/>
                <w:b w:val="0"/>
                <w:bCs w:val="0"/>
              </w:rPr>
              <w:t xml:space="preserve">У комплекті 6 гільз.</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тип обладнання Мікро-бокс</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Тип адаптера SC </w:t>
            </w:r>
            <w:r>
              <w:rPr>
                <w:rFonts w:ascii="Times New Roman" w:hAnsi="Times New Roman" w:eastAsia="Times New Roman" w:cs="Times New Roman"/>
                <w:sz w:val="24"/>
                <w:szCs w:val="24"/>
                <w:lang w:eastAsia="uk-UA"/>
              </w:rPr>
              <w:t xml:space="preserve">Simplex</w:t>
            </w:r>
            <w:r>
              <w:rPr>
                <w:rFonts w:ascii="Times New Roman" w:hAnsi="Times New Roman" w:eastAsia="Times New Roman" w:cs="Times New Roman"/>
                <w:sz w:val="24"/>
                <w:szCs w:val="24"/>
                <w:lang w:eastAsia="uk-UA"/>
              </w:rPr>
              <w:t xml:space="preserve">, LC </w:t>
            </w:r>
            <w:r>
              <w:rPr>
                <w:rFonts w:ascii="Times New Roman" w:hAnsi="Times New Roman" w:eastAsia="Times New Roman" w:cs="Times New Roman"/>
                <w:sz w:val="24"/>
                <w:szCs w:val="24"/>
                <w:lang w:eastAsia="uk-UA"/>
              </w:rPr>
              <w:t xml:space="preserve">Duplex</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К-ть адаптерів боксу 12</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Макс. кількість зварок 12</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Матеріал </w:t>
            </w:r>
            <w:r>
              <w:rPr>
                <w:rFonts w:ascii="Times New Roman" w:hAnsi="Times New Roman" w:eastAsia="Times New Roman" w:cs="Times New Roman"/>
                <w:sz w:val="24"/>
                <w:szCs w:val="24"/>
                <w:lang w:eastAsia="uk-UA"/>
              </w:rPr>
              <w:t xml:space="preserve">бокса</w:t>
            </w:r>
            <w:r>
              <w:rPr>
                <w:rFonts w:ascii="Times New Roman" w:hAnsi="Times New Roman" w:eastAsia="Times New Roman" w:cs="Times New Roman"/>
                <w:sz w:val="24"/>
                <w:szCs w:val="24"/>
                <w:lang w:eastAsia="uk-UA"/>
              </w:rPr>
              <w:t xml:space="preserve"> Пластиковий</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Розміри 152x105x32 мм</w:t>
            </w:r>
            <w:r/>
          </w:p>
          <w:p>
            <w:p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Колір Білий</w:t>
            </w:r>
            <w:r/>
          </w:p>
        </w:tc>
      </w:tr>
      <w:tr>
        <w:trPr/>
        <w:tc>
          <w:tcPr>
            <w:tcW w:w="456"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11</w:t>
            </w:r>
            <w:r/>
          </w:p>
        </w:tc>
        <w:tc>
          <w:tcPr>
            <w:tcW w:w="6566" w:type="dxa"/>
            <w:vAlign w:val="center"/>
            <w:textDirection w:val="lrTb"/>
            <w:noWrap w:val="false"/>
          </w:tcPr>
          <w:p>
            <w:pPr>
              <w:contextualSpacing/>
              <w:jc w:val="both"/>
              <w:rPr>
                <w:rFonts w:ascii="Times New Roman" w:hAnsi="Times New Roman" w:cs="Times New Roman"/>
                <w:b/>
                <w:bCs/>
                <w:sz w:val="24"/>
                <w:szCs w:val="24"/>
              </w:rPr>
            </w:pPr>
            <w:r>
              <w:rPr>
                <w:rFonts w:ascii="Times New Roman" w:hAnsi="Times New Roman" w:cs="Times New Roman"/>
                <w:b/>
                <w:bCs/>
                <w:sz w:val="24"/>
                <w:szCs w:val="24"/>
                <w:lang w:eastAsia="ru-RU"/>
              </w:rPr>
              <w:t xml:space="preserve">Піхтейл</w:t>
            </w:r>
            <w:r>
              <w:rPr>
                <w:rFonts w:ascii="Times New Roman" w:hAnsi="Times New Roman" w:cs="Times New Roman"/>
                <w:b/>
                <w:bCs/>
                <w:sz w:val="24"/>
                <w:szCs w:val="24"/>
                <w:lang w:eastAsia="ru-RU"/>
              </w:rPr>
              <w:t xml:space="preserve"> оптичний</w:t>
            </w:r>
            <w:r/>
          </w:p>
        </w:tc>
        <w:tc>
          <w:tcPr>
            <w:tcW w:w="1208"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шт</w:t>
            </w:r>
            <w:r/>
          </w:p>
        </w:tc>
        <w:tc>
          <w:tcPr>
            <w:tcW w:w="1404" w:type="dxa"/>
            <w:vAlign w:val="center"/>
            <w:textDirection w:val="lrTb"/>
            <w:noWrap w:val="false"/>
          </w:tcPr>
          <w:p>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10</w:t>
            </w:r>
            <w:r/>
          </w:p>
        </w:tc>
      </w:tr>
      <w:tr>
        <w:trPr/>
        <w:tc>
          <w:tcPr>
            <w:gridSpan w:val="4"/>
            <w:tcW w:w="9634" w:type="dxa"/>
            <w:vAlign w:val="center"/>
            <w:textDirection w:val="lrTb"/>
            <w:noWrap w:val="false"/>
          </w:tcPr>
          <w:p>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Внутрішній оптичний </w:t>
            </w:r>
            <w:r>
              <w:rPr>
                <w:rFonts w:ascii="Times New Roman" w:hAnsi="Times New Roman" w:cs="Times New Roman"/>
                <w:sz w:val="24"/>
                <w:szCs w:val="24"/>
                <w:shd w:val="clear" w:color="auto" w:fill="ffffff"/>
              </w:rPr>
              <w:t xml:space="preserve">пігтейл</w:t>
            </w:r>
            <w:r>
              <w:rPr>
                <w:rFonts w:ascii="Times New Roman" w:hAnsi="Times New Roman" w:cs="Times New Roman"/>
                <w:sz w:val="24"/>
                <w:szCs w:val="24"/>
                <w:shd w:val="clear" w:color="auto" w:fill="ffffff"/>
              </w:rPr>
              <w:t xml:space="preserve"> довжиною 1.5 м; тип роз'єму SC; тип полірування APC; волокно </w:t>
            </w:r>
            <w:r>
              <w:rPr>
                <w:rFonts w:ascii="Times New Roman" w:hAnsi="Times New Roman" w:cs="Times New Roman"/>
                <w:sz w:val="24"/>
                <w:szCs w:val="24"/>
                <w:shd w:val="clear" w:color="auto" w:fill="ffffff"/>
              </w:rPr>
              <w:t xml:space="preserve">Simplex</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Singlemode</w:t>
            </w:r>
            <w:r>
              <w:rPr>
                <w:rFonts w:ascii="Times New Roman" w:hAnsi="Times New Roman" w:cs="Times New Roman"/>
                <w:sz w:val="24"/>
                <w:szCs w:val="24"/>
                <w:shd w:val="clear" w:color="auto" w:fill="ffffff"/>
              </w:rPr>
              <w:t xml:space="preserve">; діаметр кабелю 0.9 мм</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Довжина </w:t>
            </w:r>
            <w:r>
              <w:rPr>
                <w:rFonts w:ascii="Times New Roman" w:hAnsi="Times New Roman" w:eastAsia="Times New Roman" w:cs="Times New Roman"/>
                <w:sz w:val="24"/>
                <w:szCs w:val="24"/>
                <w:lang w:eastAsia="uk-UA"/>
              </w:rPr>
              <w:t xml:space="preserve">пігтейла</w:t>
            </w:r>
            <w:r>
              <w:rPr>
                <w:rFonts w:ascii="Times New Roman" w:hAnsi="Times New Roman" w:eastAsia="Times New Roman" w:cs="Times New Roman"/>
                <w:sz w:val="24"/>
                <w:szCs w:val="24"/>
                <w:lang w:eastAsia="uk-UA"/>
              </w:rPr>
              <w:t xml:space="preserve">: 1.5 метри</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Роз'єм: SC</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Тип полірування: APC</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Мода волокна: 9/125μm</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Тип волокна: </w:t>
            </w:r>
            <w:r>
              <w:rPr>
                <w:rFonts w:ascii="Times New Roman" w:hAnsi="Times New Roman" w:eastAsia="Times New Roman" w:cs="Times New Roman"/>
                <w:sz w:val="24"/>
                <w:szCs w:val="24"/>
                <w:lang w:eastAsia="uk-UA"/>
              </w:rPr>
              <w:t xml:space="preserve">Simplex</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Клас волокна: G.652.D</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Мінімальний радіус вигину: 30 мм</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Діаметр кабелю: 0.9 мм</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Матеріал оболонки: ПВХ, колір білий</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Довжина хвилі: 1310 нм/1550 нм</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Довговічність: понад 1000 разів</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Внесені втрати: ≤0.3 </w:t>
            </w:r>
            <w:r>
              <w:rPr>
                <w:rFonts w:ascii="Times New Roman" w:hAnsi="Times New Roman" w:eastAsia="Times New Roman" w:cs="Times New Roman"/>
                <w:sz w:val="24"/>
                <w:szCs w:val="24"/>
                <w:lang w:eastAsia="uk-UA"/>
              </w:rPr>
              <w:t xml:space="preserve">дБ</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Замінність: ≤0.2 </w:t>
            </w:r>
            <w:r>
              <w:rPr>
                <w:rFonts w:ascii="Times New Roman" w:hAnsi="Times New Roman" w:eastAsia="Times New Roman" w:cs="Times New Roman"/>
                <w:sz w:val="24"/>
                <w:szCs w:val="24"/>
                <w:lang w:eastAsia="uk-UA"/>
              </w:rPr>
              <w:t xml:space="preserve">дБ</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Зворотні втрати: ≥50 </w:t>
            </w:r>
            <w:r>
              <w:rPr>
                <w:rFonts w:ascii="Times New Roman" w:hAnsi="Times New Roman" w:eastAsia="Times New Roman" w:cs="Times New Roman"/>
                <w:sz w:val="24"/>
                <w:szCs w:val="24"/>
                <w:lang w:eastAsia="uk-UA"/>
              </w:rPr>
              <w:t xml:space="preserve">дБ</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Вібрація: ≤0.2 </w:t>
            </w:r>
            <w:r>
              <w:rPr>
                <w:rFonts w:ascii="Times New Roman" w:hAnsi="Times New Roman" w:eastAsia="Times New Roman" w:cs="Times New Roman"/>
                <w:sz w:val="24"/>
                <w:szCs w:val="24"/>
                <w:lang w:eastAsia="uk-UA"/>
              </w:rPr>
              <w:t xml:space="preserve">дБ</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Температура експлуатації: -40 °C ~ +75 °C</w:t>
            </w:r>
            <w:r/>
          </w:p>
          <w:p>
            <w:pPr>
              <w:numPr>
                <w:ilvl w:val="0"/>
                <w:numId w:val="36"/>
              </w:numP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xml:space="preserve">Температура зберігання: -45 °C ~ +85 °C</w:t>
            </w:r>
            <w:bookmarkEnd w:id="3"/>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95 003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дев’яносто п’ять тисяч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6">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1"/>
  </w:num>
  <w:num w:numId="2">
    <w:abstractNumId w:val="19"/>
  </w:num>
  <w:num w:numId="3">
    <w:abstractNumId w:val="8"/>
  </w:num>
  <w:num w:numId="4">
    <w:abstractNumId w:val="26"/>
  </w:num>
  <w:num w:numId="5">
    <w:abstractNumId w:val="7"/>
  </w:num>
  <w:num w:numId="6">
    <w:abstractNumId w:val="32"/>
  </w:num>
  <w:num w:numId="7">
    <w:abstractNumId w:val="12"/>
  </w:num>
  <w:num w:numId="8">
    <w:abstractNumId w:val="34"/>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3"/>
  </w:num>
  <w:num w:numId="17">
    <w:abstractNumId w:val="1"/>
  </w:num>
  <w:num w:numId="18">
    <w:abstractNumId w:val="36"/>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8"/>
  </w:num>
  <w:num w:numId="25">
    <w:abstractNumId w:val="21"/>
  </w:num>
  <w:num w:numId="26">
    <w:abstractNumId w:val="24"/>
  </w:num>
  <w:num w:numId="27">
    <w:abstractNumId w:val="29"/>
  </w:num>
  <w:num w:numId="28">
    <w:abstractNumId w:val="22"/>
  </w:num>
  <w:num w:numId="29">
    <w:abstractNumId w:val="30"/>
  </w:num>
  <w:num w:numId="30">
    <w:abstractNumId w:val="18"/>
  </w:num>
  <w:num w:numId="31">
    <w:abstractNumId w:val="3"/>
  </w:num>
  <w:num w:numId="32">
    <w:abstractNumId w:val="20"/>
  </w:num>
  <w:num w:numId="33">
    <w:abstractNumId w:val="17"/>
  </w:num>
  <w:num w:numId="34">
    <w:abstractNumId w:val="15"/>
  </w:num>
  <w:num w:numId="35">
    <w:abstractNumId w:val="35"/>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19"/>
    <w:next w:val="719"/>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3"/>
    <w:link w:val="12"/>
    <w:uiPriority w:val="9"/>
    <w:rPr>
      <w:rFonts w:ascii="Arial" w:hAnsi="Arial" w:eastAsia="Arial" w:cs="Arial"/>
      <w:sz w:val="40"/>
      <w:szCs w:val="40"/>
    </w:rPr>
  </w:style>
  <w:style w:type="character" w:styleId="15">
    <w:name w:val="Heading 2 Char"/>
    <w:basedOn w:val="723"/>
    <w:link w:val="720"/>
    <w:uiPriority w:val="9"/>
    <w:rPr>
      <w:rFonts w:ascii="Arial" w:hAnsi="Arial" w:eastAsia="Arial" w:cs="Arial"/>
      <w:sz w:val="34"/>
    </w:rPr>
  </w:style>
  <w:style w:type="character" w:styleId="17">
    <w:name w:val="Heading 3 Char"/>
    <w:basedOn w:val="723"/>
    <w:link w:val="721"/>
    <w:uiPriority w:val="9"/>
    <w:rPr>
      <w:rFonts w:ascii="Arial" w:hAnsi="Arial" w:eastAsia="Arial" w:cs="Arial"/>
      <w:sz w:val="30"/>
      <w:szCs w:val="30"/>
    </w:rPr>
  </w:style>
  <w:style w:type="character" w:styleId="19">
    <w:name w:val="Heading 4 Char"/>
    <w:basedOn w:val="723"/>
    <w:link w:val="722"/>
    <w:uiPriority w:val="9"/>
    <w:rPr>
      <w:rFonts w:ascii="Arial" w:hAnsi="Arial" w:eastAsia="Arial" w:cs="Arial"/>
      <w:b/>
      <w:bCs/>
      <w:sz w:val="26"/>
      <w:szCs w:val="26"/>
    </w:rPr>
  </w:style>
  <w:style w:type="paragraph" w:styleId="20">
    <w:name w:val="Heading 5"/>
    <w:basedOn w:val="719"/>
    <w:next w:val="71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3"/>
    <w:link w:val="20"/>
    <w:uiPriority w:val="9"/>
    <w:rPr>
      <w:rFonts w:ascii="Arial" w:hAnsi="Arial" w:eastAsia="Arial" w:cs="Arial"/>
      <w:b/>
      <w:bCs/>
      <w:sz w:val="24"/>
      <w:szCs w:val="24"/>
    </w:rPr>
  </w:style>
  <w:style w:type="paragraph" w:styleId="22">
    <w:name w:val="Heading 6"/>
    <w:basedOn w:val="719"/>
    <w:next w:val="719"/>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3"/>
    <w:link w:val="22"/>
    <w:uiPriority w:val="9"/>
    <w:rPr>
      <w:rFonts w:ascii="Arial" w:hAnsi="Arial" w:eastAsia="Arial" w:cs="Arial"/>
      <w:b/>
      <w:bCs/>
      <w:sz w:val="22"/>
      <w:szCs w:val="22"/>
    </w:rPr>
  </w:style>
  <w:style w:type="paragraph" w:styleId="24">
    <w:name w:val="Heading 7"/>
    <w:basedOn w:val="719"/>
    <w:next w:val="71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3"/>
    <w:link w:val="24"/>
    <w:uiPriority w:val="9"/>
    <w:rPr>
      <w:rFonts w:ascii="Arial" w:hAnsi="Arial" w:eastAsia="Arial" w:cs="Arial"/>
      <w:b/>
      <w:bCs/>
      <w:i/>
      <w:iCs/>
      <w:sz w:val="22"/>
      <w:szCs w:val="22"/>
    </w:rPr>
  </w:style>
  <w:style w:type="paragraph" w:styleId="26">
    <w:name w:val="Heading 8"/>
    <w:basedOn w:val="719"/>
    <w:next w:val="71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3"/>
    <w:link w:val="26"/>
    <w:uiPriority w:val="9"/>
    <w:rPr>
      <w:rFonts w:ascii="Arial" w:hAnsi="Arial" w:eastAsia="Arial" w:cs="Arial"/>
      <w:i/>
      <w:iCs/>
      <w:sz w:val="22"/>
      <w:szCs w:val="22"/>
    </w:rPr>
  </w:style>
  <w:style w:type="paragraph" w:styleId="28">
    <w:name w:val="Heading 9"/>
    <w:basedOn w:val="719"/>
    <w:next w:val="71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3"/>
    <w:link w:val="28"/>
    <w:uiPriority w:val="9"/>
    <w:rPr>
      <w:rFonts w:ascii="Arial" w:hAnsi="Arial" w:eastAsia="Arial" w:cs="Arial"/>
      <w:i/>
      <w:iCs/>
      <w:sz w:val="21"/>
      <w:szCs w:val="21"/>
    </w:rPr>
  </w:style>
  <w:style w:type="paragraph" w:styleId="33">
    <w:name w:val="Title"/>
    <w:basedOn w:val="719"/>
    <w:next w:val="719"/>
    <w:link w:val="34"/>
    <w:uiPriority w:val="10"/>
    <w:qFormat/>
    <w:pPr>
      <w:contextualSpacing/>
      <w:spacing w:before="300" w:after="200"/>
    </w:pPr>
    <w:rPr>
      <w:sz w:val="48"/>
      <w:szCs w:val="48"/>
    </w:rPr>
  </w:style>
  <w:style w:type="character" w:styleId="34">
    <w:name w:val="Title Char"/>
    <w:basedOn w:val="723"/>
    <w:link w:val="33"/>
    <w:uiPriority w:val="10"/>
    <w:rPr>
      <w:sz w:val="48"/>
      <w:szCs w:val="48"/>
    </w:rPr>
  </w:style>
  <w:style w:type="paragraph" w:styleId="35">
    <w:name w:val="Subtitle"/>
    <w:basedOn w:val="719"/>
    <w:next w:val="719"/>
    <w:link w:val="36"/>
    <w:uiPriority w:val="11"/>
    <w:qFormat/>
    <w:pPr>
      <w:spacing w:before="200" w:after="200"/>
    </w:pPr>
    <w:rPr>
      <w:sz w:val="24"/>
      <w:szCs w:val="24"/>
    </w:rPr>
  </w:style>
  <w:style w:type="character" w:styleId="36">
    <w:name w:val="Subtitle Char"/>
    <w:basedOn w:val="723"/>
    <w:link w:val="35"/>
    <w:uiPriority w:val="11"/>
    <w:rPr>
      <w:sz w:val="24"/>
      <w:szCs w:val="24"/>
    </w:rPr>
  </w:style>
  <w:style w:type="paragraph" w:styleId="37">
    <w:name w:val="Quote"/>
    <w:basedOn w:val="719"/>
    <w:next w:val="719"/>
    <w:link w:val="38"/>
    <w:uiPriority w:val="29"/>
    <w:qFormat/>
    <w:pPr>
      <w:ind w:left="720" w:right="720"/>
    </w:pPr>
    <w:rPr>
      <w:i/>
    </w:rPr>
  </w:style>
  <w:style w:type="character" w:styleId="38">
    <w:name w:val="Quote Char"/>
    <w:link w:val="37"/>
    <w:uiPriority w:val="29"/>
    <w:rPr>
      <w:i/>
    </w:rPr>
  </w:style>
  <w:style w:type="paragraph" w:styleId="39">
    <w:name w:val="Intense Quote"/>
    <w:basedOn w:val="719"/>
    <w:next w:val="71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19"/>
    <w:link w:val="42"/>
    <w:uiPriority w:val="99"/>
    <w:unhideWhenUsed/>
    <w:pPr>
      <w:spacing w:after="0" w:line="240" w:lineRule="auto"/>
      <w:tabs>
        <w:tab w:val="center" w:pos="7143" w:leader="none"/>
        <w:tab w:val="right" w:pos="14287" w:leader="none"/>
      </w:tabs>
    </w:pPr>
  </w:style>
  <w:style w:type="character" w:styleId="42">
    <w:name w:val="Header Char"/>
    <w:basedOn w:val="723"/>
    <w:link w:val="41"/>
    <w:uiPriority w:val="99"/>
  </w:style>
  <w:style w:type="character" w:styleId="44">
    <w:name w:val="Footer Char"/>
    <w:basedOn w:val="723"/>
    <w:link w:val="732"/>
    <w:uiPriority w:val="99"/>
  </w:style>
  <w:style w:type="paragraph" w:styleId="45">
    <w:name w:val="Caption"/>
    <w:basedOn w:val="719"/>
    <w:next w:val="719"/>
    <w:uiPriority w:val="35"/>
    <w:semiHidden/>
    <w:unhideWhenUsed/>
    <w:qFormat/>
    <w:pPr>
      <w:spacing w:line="276" w:lineRule="auto"/>
    </w:pPr>
    <w:rPr>
      <w:b/>
      <w:bCs/>
      <w:color w:val="4f81bd" w:themeColor="accent1"/>
      <w:sz w:val="18"/>
      <w:szCs w:val="18"/>
    </w:rPr>
  </w:style>
  <w:style w:type="character" w:styleId="46">
    <w:name w:val="Caption Char"/>
    <w:basedOn w:val="45"/>
    <w:link w:val="732"/>
    <w:uiPriority w:val="99"/>
  </w:style>
  <w:style w:type="table" w:styleId="48">
    <w:name w:val="Table Grid Light"/>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1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3"/>
    <w:uiPriority w:val="99"/>
    <w:unhideWhenUsed/>
    <w:rPr>
      <w:vertAlign w:val="superscript"/>
    </w:rPr>
  </w:style>
  <w:style w:type="paragraph" w:styleId="177">
    <w:name w:val="endnote text"/>
    <w:basedOn w:val="71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3"/>
    <w:uiPriority w:val="99"/>
    <w:semiHidden/>
    <w:unhideWhenUsed/>
    <w:rPr>
      <w:vertAlign w:val="superscript"/>
    </w:rPr>
  </w:style>
  <w:style w:type="paragraph" w:styleId="180">
    <w:name w:val="toc 1"/>
    <w:basedOn w:val="719"/>
    <w:next w:val="719"/>
    <w:uiPriority w:val="39"/>
    <w:unhideWhenUsed/>
    <w:pPr>
      <w:ind w:left="0" w:right="0" w:firstLine="0"/>
      <w:spacing w:after="57"/>
    </w:pPr>
  </w:style>
  <w:style w:type="paragraph" w:styleId="181">
    <w:name w:val="toc 2"/>
    <w:basedOn w:val="719"/>
    <w:next w:val="719"/>
    <w:uiPriority w:val="39"/>
    <w:unhideWhenUsed/>
    <w:pPr>
      <w:ind w:left="283" w:right="0" w:firstLine="0"/>
      <w:spacing w:after="57"/>
    </w:pPr>
  </w:style>
  <w:style w:type="paragraph" w:styleId="182">
    <w:name w:val="toc 3"/>
    <w:basedOn w:val="719"/>
    <w:next w:val="719"/>
    <w:uiPriority w:val="39"/>
    <w:unhideWhenUsed/>
    <w:pPr>
      <w:ind w:left="567" w:right="0" w:firstLine="0"/>
      <w:spacing w:after="57"/>
    </w:pPr>
  </w:style>
  <w:style w:type="paragraph" w:styleId="183">
    <w:name w:val="toc 4"/>
    <w:basedOn w:val="719"/>
    <w:next w:val="719"/>
    <w:uiPriority w:val="39"/>
    <w:unhideWhenUsed/>
    <w:pPr>
      <w:ind w:left="850" w:right="0" w:firstLine="0"/>
      <w:spacing w:after="57"/>
    </w:pPr>
  </w:style>
  <w:style w:type="paragraph" w:styleId="184">
    <w:name w:val="toc 5"/>
    <w:basedOn w:val="719"/>
    <w:next w:val="719"/>
    <w:uiPriority w:val="39"/>
    <w:unhideWhenUsed/>
    <w:pPr>
      <w:ind w:left="1134" w:right="0" w:firstLine="0"/>
      <w:spacing w:after="57"/>
    </w:pPr>
  </w:style>
  <w:style w:type="paragraph" w:styleId="185">
    <w:name w:val="toc 6"/>
    <w:basedOn w:val="719"/>
    <w:next w:val="719"/>
    <w:uiPriority w:val="39"/>
    <w:unhideWhenUsed/>
    <w:pPr>
      <w:ind w:left="1417" w:right="0" w:firstLine="0"/>
      <w:spacing w:after="57"/>
    </w:pPr>
  </w:style>
  <w:style w:type="paragraph" w:styleId="186">
    <w:name w:val="toc 7"/>
    <w:basedOn w:val="719"/>
    <w:next w:val="719"/>
    <w:uiPriority w:val="39"/>
    <w:unhideWhenUsed/>
    <w:pPr>
      <w:ind w:left="1701" w:right="0" w:firstLine="0"/>
      <w:spacing w:after="57"/>
    </w:pPr>
  </w:style>
  <w:style w:type="paragraph" w:styleId="187">
    <w:name w:val="toc 8"/>
    <w:basedOn w:val="719"/>
    <w:next w:val="719"/>
    <w:uiPriority w:val="39"/>
    <w:unhideWhenUsed/>
    <w:pPr>
      <w:ind w:left="1984" w:right="0" w:firstLine="0"/>
      <w:spacing w:after="57"/>
    </w:pPr>
  </w:style>
  <w:style w:type="paragraph" w:styleId="188">
    <w:name w:val="toc 9"/>
    <w:basedOn w:val="719"/>
    <w:next w:val="71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19"/>
    <w:next w:val="719"/>
    <w:uiPriority w:val="99"/>
    <w:unhideWhenUsed/>
    <w:pPr>
      <w:spacing w:after="0" w:afterAutospacing="0"/>
    </w:pPr>
  </w:style>
  <w:style w:type="paragraph" w:styleId="719" w:default="1">
    <w:name w:val="Normal"/>
    <w:qFormat/>
    <w:rPr>
      <w:lang w:val="uk-UA"/>
    </w:rPr>
  </w:style>
  <w:style w:type="paragraph" w:styleId="720">
    <w:name w:val="Heading 2"/>
    <w:basedOn w:val="719"/>
    <w:link w:val="74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1">
    <w:name w:val="Heading 3"/>
    <w:basedOn w:val="719"/>
    <w:next w:val="719"/>
    <w:link w:val="75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2">
    <w:name w:val="Heading 4"/>
    <w:basedOn w:val="719"/>
    <w:next w:val="719"/>
    <w:link w:val="75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3" w:default="1">
    <w:name w:val="Default Paragraph Font"/>
    <w:uiPriority w:val="1"/>
    <w:semiHidden/>
    <w:unhideWhenUsed/>
  </w:style>
  <w:style w:type="table" w:styleId="724" w:default="1">
    <w:name w:val="Normal Table"/>
    <w:uiPriority w:val="99"/>
    <w:semiHidden/>
    <w:unhideWhenUsed/>
    <w:tblPr>
      <w:tblInd w:w="0" w:type="dxa"/>
      <w:tblCellMar>
        <w:left w:w="108" w:type="dxa"/>
        <w:top w:w="0" w:type="dxa"/>
        <w:right w:w="108" w:type="dxa"/>
        <w:bottom w:w="0" w:type="dxa"/>
      </w:tblCellMar>
    </w:tblPr>
  </w:style>
  <w:style w:type="numbering" w:styleId="725" w:default="1">
    <w:name w:val="No List"/>
    <w:uiPriority w:val="99"/>
    <w:semiHidden/>
    <w:unhideWhenUsed/>
  </w:style>
  <w:style w:type="paragraph" w:styleId="726">
    <w:name w:val="List Paragraph"/>
    <w:basedOn w:val="719"/>
    <w:link w:val="727"/>
    <w:uiPriority w:val="34"/>
    <w:qFormat/>
    <w:pPr>
      <w:contextualSpacing/>
      <w:ind w:left="720"/>
      <w:spacing w:after="200" w:line="276" w:lineRule="auto"/>
    </w:pPr>
    <w:rPr>
      <w:rFonts w:ascii="Calibri" w:hAnsi="Calibri" w:eastAsia="Calibri" w:cs="Calibri"/>
      <w:lang w:val="ru-RU" w:eastAsia="zh-CN"/>
    </w:rPr>
  </w:style>
  <w:style w:type="character" w:styleId="727" w:customStyle="1">
    <w:name w:val="Абзац списку Знак"/>
    <w:link w:val="726"/>
    <w:uiPriority w:val="34"/>
    <w:qFormat/>
    <w:rPr>
      <w:rFonts w:ascii="Calibri" w:hAnsi="Calibri" w:eastAsia="Calibri" w:cs="Calibri"/>
      <w:lang w:eastAsia="zh-CN"/>
    </w:rPr>
  </w:style>
  <w:style w:type="table" w:styleId="728">
    <w:name w:val="Table Grid"/>
    <w:basedOn w:val="72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29" w:customStyle="1">
    <w:name w:val="Сетка таблицы2"/>
    <w:basedOn w:val="724"/>
    <w:next w:val="72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0">
    <w:name w:val="Normal (Web)"/>
    <w:basedOn w:val="719"/>
    <w:link w:val="737"/>
    <w:uiPriority w:val="99"/>
    <w:unhideWhenUsed/>
    <w:qFormat/>
    <w:rPr>
      <w:rFonts w:ascii="Times New Roman" w:hAnsi="Times New Roman" w:cs="Times New Roman"/>
      <w:sz w:val="24"/>
      <w:szCs w:val="24"/>
    </w:rPr>
  </w:style>
  <w:style w:type="table" w:styleId="731" w:customStyle="1">
    <w:name w:val="Сетка таблицы1"/>
    <w:basedOn w:val="724"/>
    <w:next w:val="72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Footer"/>
    <w:basedOn w:val="719"/>
    <w:link w:val="73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3" w:customStyle="1">
    <w:name w:val="Нижній колонтитул Знак"/>
    <w:basedOn w:val="723"/>
    <w:link w:val="732"/>
    <w:uiPriority w:val="99"/>
    <w:rPr>
      <w:rFonts w:ascii="Calibri" w:hAnsi="Calibri" w:eastAsia="Calibri" w:cs="Calibri"/>
      <w:lang w:eastAsia="zh-CN"/>
    </w:rPr>
  </w:style>
  <w:style w:type="paragraph" w:styleId="73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5">
    <w:name w:val="Hyperlink"/>
    <w:basedOn w:val="723"/>
    <w:uiPriority w:val="99"/>
    <w:unhideWhenUsed/>
    <w:rPr>
      <w:color w:val="0563c1" w:themeColor="hyperlink"/>
      <w:u w:val="single"/>
    </w:rPr>
  </w:style>
  <w:style w:type="character" w:styleId="736" w:customStyle="1">
    <w:name w:val="xfm_93972720"/>
    <w:basedOn w:val="723"/>
  </w:style>
  <w:style w:type="character" w:styleId="737" w:customStyle="1">
    <w:name w:val="Звичайний (веб) Знак"/>
    <w:link w:val="730"/>
    <w:qFormat/>
    <w:rPr>
      <w:rFonts w:ascii="Times New Roman" w:hAnsi="Times New Roman" w:cs="Times New Roman"/>
      <w:sz w:val="24"/>
      <w:szCs w:val="24"/>
      <w:lang w:val="uk-UA"/>
    </w:rPr>
  </w:style>
  <w:style w:type="paragraph" w:styleId="738">
    <w:name w:val="Body Text 2"/>
    <w:basedOn w:val="719"/>
    <w:link w:val="739"/>
    <w:pPr>
      <w:spacing w:after="0" w:line="240" w:lineRule="auto"/>
    </w:pPr>
    <w:rPr>
      <w:rFonts w:ascii="Times New Roman" w:hAnsi="Times New Roman" w:eastAsia="Times New Roman" w:cs="Times New Roman"/>
      <w:sz w:val="28"/>
      <w:szCs w:val="20"/>
      <w:lang w:val="ru-RU" w:eastAsia="ru-RU"/>
    </w:rPr>
  </w:style>
  <w:style w:type="character" w:styleId="739" w:customStyle="1">
    <w:name w:val="Основний текст 2 Знак"/>
    <w:basedOn w:val="723"/>
    <w:link w:val="738"/>
    <w:rPr>
      <w:rFonts w:ascii="Times New Roman" w:hAnsi="Times New Roman" w:eastAsia="Times New Roman" w:cs="Times New Roman"/>
      <w:sz w:val="28"/>
      <w:szCs w:val="20"/>
      <w:lang w:eastAsia="ru-RU"/>
    </w:rPr>
  </w:style>
  <w:style w:type="paragraph" w:styleId="74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1" w:customStyle="1">
    <w:name w:val="Заголовок 2 Знак"/>
    <w:basedOn w:val="723"/>
    <w:link w:val="720"/>
    <w:uiPriority w:val="9"/>
    <w:rPr>
      <w:rFonts w:ascii="Times New Roman" w:hAnsi="Times New Roman" w:eastAsia="Times New Roman" w:cs="Times New Roman"/>
      <w:b/>
      <w:bCs/>
      <w:sz w:val="36"/>
      <w:szCs w:val="36"/>
      <w:lang w:val="uk-UA" w:eastAsia="uk-UA"/>
    </w:rPr>
  </w:style>
  <w:style w:type="paragraph" w:styleId="742">
    <w:name w:val="No Spacing"/>
    <w:link w:val="743"/>
    <w:uiPriority w:val="1"/>
    <w:qFormat/>
    <w:pPr>
      <w:spacing w:after="0" w:line="240" w:lineRule="auto"/>
    </w:pPr>
    <w:rPr>
      <w:rFonts w:ascii="Calibri" w:hAnsi="Calibri" w:eastAsia="Calibri" w:cs="Times New Roman"/>
      <w:lang w:val="uk-UA"/>
    </w:rPr>
  </w:style>
  <w:style w:type="character" w:styleId="743" w:customStyle="1">
    <w:name w:val="Без інтервалів Знак"/>
    <w:basedOn w:val="723"/>
    <w:link w:val="742"/>
    <w:uiPriority w:val="1"/>
    <w:rPr>
      <w:rFonts w:ascii="Calibri" w:hAnsi="Calibri" w:eastAsia="Calibri" w:cs="Times New Roman"/>
      <w:lang w:val="uk-UA"/>
    </w:rPr>
  </w:style>
  <w:style w:type="character" w:styleId="744" w:customStyle="1">
    <w:name w:val="Другое_"/>
    <w:basedOn w:val="723"/>
    <w:link w:val="745"/>
    <w:rPr>
      <w:rFonts w:ascii="Calibri" w:hAnsi="Calibri" w:eastAsia="Calibri" w:cs="Calibri"/>
      <w:sz w:val="20"/>
      <w:szCs w:val="20"/>
    </w:rPr>
  </w:style>
  <w:style w:type="paragraph" w:styleId="745" w:customStyle="1">
    <w:name w:val="Другое"/>
    <w:basedOn w:val="719"/>
    <w:link w:val="744"/>
    <w:qFormat/>
    <w:pPr>
      <w:spacing w:after="0" w:line="240" w:lineRule="auto"/>
      <w:widowControl w:val="off"/>
    </w:pPr>
    <w:rPr>
      <w:rFonts w:ascii="Calibri" w:hAnsi="Calibri" w:eastAsia="Calibri" w:cs="Calibri"/>
      <w:sz w:val="20"/>
      <w:szCs w:val="20"/>
      <w:lang w:val="ru-RU"/>
    </w:rPr>
  </w:style>
  <w:style w:type="paragraph" w:styleId="74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7" w:customStyle="1">
    <w:name w:val="Основной текст (2)_"/>
    <w:basedOn w:val="723"/>
    <w:link w:val="748"/>
    <w:rPr>
      <w:rFonts w:eastAsia="Times New Roman" w:cs="Times New Roman"/>
      <w:shd w:val="clear" w:color="auto" w:fill="ffffff"/>
    </w:rPr>
  </w:style>
  <w:style w:type="paragraph" w:styleId="748" w:customStyle="1">
    <w:name w:val="Основной текст (2)"/>
    <w:basedOn w:val="719"/>
    <w:link w:val="747"/>
    <w:pPr>
      <w:ind w:hanging="700"/>
      <w:jc w:val="both"/>
      <w:spacing w:before="240" w:after="480" w:line="0" w:lineRule="atLeast"/>
      <w:shd w:val="clear" w:color="auto" w:fill="ffffff"/>
      <w:widowControl w:val="off"/>
    </w:pPr>
    <w:rPr>
      <w:rFonts w:eastAsia="Times New Roman" w:cs="Times New Roman"/>
      <w:lang w:val="ru-RU"/>
    </w:rPr>
  </w:style>
  <w:style w:type="character" w:styleId="749" w:customStyle="1">
    <w:name w:val="Текст у виносці Знак"/>
    <w:basedOn w:val="723"/>
    <w:link w:val="750"/>
    <w:uiPriority w:val="99"/>
    <w:semiHidden/>
    <w:rPr>
      <w:rFonts w:ascii="Segoe UI" w:hAnsi="Segoe UI" w:eastAsia="Times New Roman" w:cs="Segoe UI"/>
      <w:sz w:val="18"/>
      <w:szCs w:val="18"/>
      <w:lang w:eastAsia="ru-RU"/>
    </w:rPr>
  </w:style>
  <w:style w:type="paragraph" w:styleId="750">
    <w:name w:val="Balloon Text"/>
    <w:basedOn w:val="719"/>
    <w:link w:val="749"/>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1" w:customStyle="1">
    <w:name w:val="Текст у виносці Знак1"/>
    <w:basedOn w:val="723"/>
    <w:uiPriority w:val="99"/>
    <w:semiHidden/>
    <w:rPr>
      <w:rFonts w:ascii="Segoe UI" w:hAnsi="Segoe UI" w:cs="Segoe UI"/>
      <w:sz w:val="18"/>
      <w:szCs w:val="18"/>
      <w:lang w:val="uk-UA"/>
    </w:rPr>
  </w:style>
  <w:style w:type="character" w:styleId="752" w:customStyle="1">
    <w:name w:val="T23"/>
    <w:rPr>
      <w:rFonts w:hint="default" w:ascii="Times New Roman" w:hAnsi="Times New Roman" w:eastAsia="Times New Roman1" w:cs="Times New Roman"/>
    </w:rPr>
  </w:style>
  <w:style w:type="paragraph" w:styleId="753" w:customStyle="1">
    <w:name w:val="Абзац списку1"/>
    <w:basedOn w:val="71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4" w:customStyle="1">
    <w:name w:val="markedcontent"/>
    <w:basedOn w:val="723"/>
  </w:style>
  <w:style w:type="paragraph" w:styleId="755">
    <w:name w:val="annotation text"/>
    <w:basedOn w:val="719"/>
    <w:link w:val="75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6" w:customStyle="1">
    <w:name w:val="Текст примітки Знак"/>
    <w:basedOn w:val="723"/>
    <w:link w:val="755"/>
    <w:uiPriority w:val="99"/>
    <w:rPr>
      <w:rFonts w:ascii="Times New Roman" w:hAnsi="Times New Roman" w:eastAsia="Times New Roman" w:cs="Times New Roman"/>
      <w:sz w:val="20"/>
      <w:szCs w:val="20"/>
      <w:lang w:eastAsia="ru-RU"/>
    </w:rPr>
  </w:style>
  <w:style w:type="character" w:styleId="757" w:customStyle="1">
    <w:name w:val="docdata"/>
    <w:basedOn w:val="723"/>
  </w:style>
  <w:style w:type="character" w:styleId="758" w:customStyle="1">
    <w:name w:val="Заголовок 3 Знак"/>
    <w:basedOn w:val="723"/>
    <w:link w:val="721"/>
    <w:uiPriority w:val="9"/>
    <w:semiHidden/>
    <w:rPr>
      <w:rFonts w:asciiTheme="majorHAnsi" w:hAnsiTheme="majorHAnsi" w:eastAsiaTheme="majorEastAsia" w:cstheme="majorBidi"/>
      <w:color w:val="1f4d78" w:themeColor="accent1" w:themeShade="7F"/>
      <w:sz w:val="24"/>
      <w:szCs w:val="24"/>
      <w:lang w:val="uk-UA"/>
    </w:rPr>
  </w:style>
  <w:style w:type="character" w:styleId="759" w:customStyle="1">
    <w:name w:val="Заголовок 4 Знак"/>
    <w:basedOn w:val="723"/>
    <w:link w:val="722"/>
    <w:uiPriority w:val="9"/>
    <w:semiHidden/>
    <w:rPr>
      <w:rFonts w:asciiTheme="majorHAnsi" w:hAnsiTheme="majorHAnsi" w:eastAsiaTheme="majorEastAsia" w:cstheme="majorBidi"/>
      <w:i/>
      <w:iCs/>
      <w:color w:val="2e74b5" w:themeColor="accent1" w:themeShade="BF"/>
      <w:lang w:val="uk-UA"/>
    </w:rPr>
  </w:style>
  <w:style w:type="paragraph" w:styleId="760" w:customStyle="1">
    <w:name w:val="name-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1" w:customStyle="1">
    <w:name w:val="cont-spec"/>
    <w:basedOn w:val="71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2">
    <w:name w:val="Strong"/>
    <w:basedOn w:val="723"/>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www.bezpeka-shop.com/ua/catalog/dvernye_perekhody/f/tip_ustroystva-is-gibkiy-perekhod/" TargetMode="External"/><Relationship Id="rId12" Type="http://schemas.openxmlformats.org/officeDocument/2006/relationships/hyperlink" Target="https://www.bezpeka-shop.com/ua/catalog/dvernye_perekhody/f/tip_ustanovki-is-vnutrennyaya/" TargetMode="External"/><Relationship Id="rId13" Type="http://schemas.openxmlformats.org/officeDocument/2006/relationships/hyperlink" Target="https://www.bezpeka-shop.com/ua/catalog/dvernye_perekhody/f/tip_ustanovki-is-naruzhnaya/" TargetMode="External"/><Relationship Id="rId14" Type="http://schemas.openxmlformats.org/officeDocument/2006/relationships/hyperlink" Target="https://www.bezpeka-shop.com/ua/catalog/dvernye_perekhody/f/tsvet-is-chernyy/" TargetMode="External"/><Relationship Id="rId15" Type="http://schemas.openxmlformats.org/officeDocument/2006/relationships/hyperlink" Target="https://www.bezpeka-shop.com/ua/catalog/poe/f/tip_ustroystva-is-poe-kommutator/" TargetMode="External"/><Relationship Id="rId16" Type="http://schemas.openxmlformats.org/officeDocument/2006/relationships/hyperlink" Target="https://www.bezpeka-shop.com/ua/catalog/poe/f/tip_kommutatora-is-neupravlyaemyy/" TargetMode="External"/><Relationship Id="rId17" Type="http://schemas.openxmlformats.org/officeDocument/2006/relationships/hyperlink" Target="https://www.bezpeka-shop.com/ua/catalog/poe/f/form_faktor_kommutatora-is-nastolnyy/" TargetMode="External"/><Relationship Id="rId18" Type="http://schemas.openxmlformats.org/officeDocument/2006/relationships/hyperlink" Target="https://www.bezpeka-shop.com/ua/catalog/poe/f/kolichestvo_portov-is-10/" TargetMode="External"/><Relationship Id="rId19" Type="http://schemas.openxmlformats.org/officeDocument/2006/relationships/hyperlink" Target="https://www.bezpeka-shop.com/ua/catalog/poe/f/kolichestvo_portov_poe-is-8/" TargetMode="External"/><Relationship Id="rId20" Type="http://schemas.openxmlformats.org/officeDocument/2006/relationships/hyperlink" Target="https://www.bezpeka-shop.com/ua/catalog/poe/f/rasstoyanie_do_potrebitelya_poe_m-is-25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160</cp:revision>
  <dcterms:created xsi:type="dcterms:W3CDTF">2022-11-01T12:47:00Z</dcterms:created>
  <dcterms:modified xsi:type="dcterms:W3CDTF">2024-02-16T17:30:56Z</dcterms:modified>
</cp:coreProperties>
</file>