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34"/>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bookmarkStart w:id="0" w:name="_Hlk163736934"/>
      <w:r>
        <w:rPr>
          <w:b w:val="0"/>
          <w:bCs w:val="0"/>
          <w:sz w:val="24"/>
          <w:szCs w:val="24"/>
        </w:rPr>
        <w:t xml:space="preserve">Закупівля серверного апаратно-програмного комплексу для побудови </w:t>
      </w:r>
      <w:r>
        <w:rPr>
          <w:b w:val="0"/>
          <w:bCs w:val="0"/>
          <w:sz w:val="24"/>
          <w:szCs w:val="24"/>
        </w:rPr>
        <w:t xml:space="preserve">гіперконвергентного</w:t>
      </w:r>
      <w:r>
        <w:rPr>
          <w:b w:val="0"/>
          <w:bCs w:val="0"/>
          <w:sz w:val="24"/>
          <w:szCs w:val="24"/>
        </w:rPr>
        <w:t xml:space="preserve"> рішення </w:t>
      </w:r>
      <w:r>
        <w:rPr>
          <w:b w:val="0"/>
          <w:bCs w:val="0"/>
          <w:sz w:val="24"/>
          <w:szCs w:val="24"/>
        </w:rPr>
        <w:t xml:space="preserve">Nutanix</w:t>
      </w:r>
      <w:r>
        <w:rPr>
          <w:b w:val="0"/>
          <w:bCs w:val="0"/>
          <w:sz w:val="24"/>
          <w:szCs w:val="24"/>
        </w:rPr>
        <w:t xml:space="preserve"> </w:t>
      </w:r>
      <w:r>
        <w:rPr>
          <w:b w:val="0"/>
          <w:bCs w:val="0"/>
          <w:sz w:val="24"/>
          <w:szCs w:val="24"/>
        </w:rPr>
        <w:t xml:space="preserve">Cloud</w:t>
      </w:r>
      <w:r>
        <w:rPr>
          <w:b w:val="0"/>
          <w:bCs w:val="0"/>
          <w:sz w:val="24"/>
          <w:szCs w:val="24"/>
        </w:rPr>
        <w:t xml:space="preserve"> </w:t>
      </w:r>
      <w:r>
        <w:rPr>
          <w:b w:val="0"/>
          <w:bCs w:val="0"/>
          <w:sz w:val="24"/>
          <w:szCs w:val="24"/>
        </w:rPr>
        <w:t xml:space="preserve">Infrastructure</w:t>
      </w:r>
      <w:r>
        <w:rPr>
          <w:b w:val="0"/>
          <w:bCs w:val="0"/>
          <w:sz w:val="24"/>
          <w:szCs w:val="24"/>
        </w:rPr>
        <w:t xml:space="preserve"> на базі серверного обладнання </w:t>
      </w:r>
      <w:r>
        <w:rPr>
          <w:b w:val="0"/>
          <w:bCs w:val="0"/>
          <w:sz w:val="24"/>
          <w:szCs w:val="24"/>
        </w:rPr>
        <w:t xml:space="preserve">Lenovo</w:t>
      </w:r>
      <w:r>
        <w:rPr>
          <w:b w:val="0"/>
          <w:bCs w:val="0"/>
          <w:sz w:val="24"/>
          <w:szCs w:val="24"/>
        </w:rPr>
        <w:t xml:space="preserve"> </w:t>
      </w:r>
      <w:r>
        <w:rPr>
          <w:b w:val="0"/>
          <w:bCs w:val="0"/>
          <w:sz w:val="24"/>
          <w:szCs w:val="24"/>
        </w:rPr>
        <w:t xml:space="preserve">ThinkAgile</w:t>
      </w:r>
      <w:r>
        <w:rPr>
          <w:b w:val="0"/>
          <w:bCs w:val="0"/>
          <w:sz w:val="24"/>
          <w:szCs w:val="24"/>
        </w:rPr>
        <w:t xml:space="preserve"> HX650 V3 (або аналог) </w:t>
      </w:r>
      <w:r>
        <w:rPr>
          <w:b w:val="0"/>
          <w:sz w:val="24"/>
          <w:szCs w:val="24"/>
        </w:rPr>
        <w:t xml:space="preserve">м. Льві</w:t>
      </w:r>
      <w:r>
        <w:rPr>
          <w:bCs w:val="0"/>
          <w:sz w:val="24"/>
          <w:szCs w:val="24"/>
        </w:rPr>
        <w:t xml:space="preserve">в</w:t>
      </w:r>
      <w:r>
        <w:rPr>
          <w:b w:val="0"/>
          <w:bCs w:val="0"/>
          <w:sz w:val="24"/>
          <w:szCs w:val="24"/>
        </w:rPr>
        <w:t xml:space="preserve"> </w:t>
      </w:r>
      <w:r>
        <w:rPr>
          <w:b w:val="0"/>
          <w:bCs w:val="0"/>
          <w:sz w:val="24"/>
          <w:szCs w:val="24"/>
        </w:rPr>
        <w:t xml:space="preserve">за ДК 021:2015: </w:t>
      </w:r>
      <w:bookmarkEnd w:id="0"/>
      <w:r>
        <w:rPr>
          <w:b w:val="0"/>
          <w:bCs w:val="0"/>
          <w:sz w:val="24"/>
          <w:szCs w:val="24"/>
        </w:rPr>
        <w:t xml:space="preserve">48820000-2 Сервери</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7</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8</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8091</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bCs/>
          <w:sz w:val="24"/>
          <w:szCs w:val="24"/>
        </w:rPr>
        <w:t xml:space="preserve">Закупівля серверного апаратно-програмного комплексу для побудови </w:t>
      </w:r>
      <w:r>
        <w:rPr>
          <w:rFonts w:ascii="Times New Roman" w:hAnsi="Times New Roman" w:cs="Times New Roman"/>
          <w:bCs/>
          <w:sz w:val="24"/>
          <w:szCs w:val="24"/>
        </w:rPr>
        <w:t xml:space="preserve">гіперконвергентного</w:t>
      </w:r>
      <w:r>
        <w:rPr>
          <w:rFonts w:ascii="Times New Roman" w:hAnsi="Times New Roman" w:cs="Times New Roman"/>
          <w:bCs/>
          <w:sz w:val="24"/>
          <w:szCs w:val="24"/>
        </w:rPr>
        <w:t xml:space="preserve"> рішення </w:t>
      </w:r>
      <w:r>
        <w:rPr>
          <w:rFonts w:ascii="Times New Roman" w:hAnsi="Times New Roman" w:cs="Times New Roman"/>
          <w:bCs/>
          <w:sz w:val="24"/>
          <w:szCs w:val="24"/>
        </w:rPr>
        <w:t xml:space="preserve">Nutanix</w:t>
      </w:r>
      <w:r>
        <w:rPr>
          <w:rFonts w:ascii="Times New Roman" w:hAnsi="Times New Roman" w:cs="Times New Roman"/>
          <w:bCs/>
          <w:sz w:val="24"/>
          <w:szCs w:val="24"/>
        </w:rPr>
        <w:t xml:space="preserve"> </w:t>
      </w:r>
      <w:r>
        <w:rPr>
          <w:rFonts w:ascii="Times New Roman" w:hAnsi="Times New Roman" w:cs="Times New Roman"/>
          <w:bCs/>
          <w:sz w:val="24"/>
          <w:szCs w:val="24"/>
        </w:rPr>
        <w:t xml:space="preserve">Cloud</w:t>
      </w:r>
      <w:r>
        <w:rPr>
          <w:rFonts w:ascii="Times New Roman" w:hAnsi="Times New Roman" w:cs="Times New Roman"/>
          <w:bCs/>
          <w:sz w:val="24"/>
          <w:szCs w:val="24"/>
        </w:rPr>
        <w:t xml:space="preserve"> </w:t>
      </w:r>
      <w:r>
        <w:rPr>
          <w:rFonts w:ascii="Times New Roman" w:hAnsi="Times New Roman" w:cs="Times New Roman"/>
          <w:bCs/>
          <w:sz w:val="24"/>
          <w:szCs w:val="24"/>
        </w:rPr>
        <w:t xml:space="preserve">Infrastructure</w:t>
      </w:r>
      <w:r>
        <w:rPr>
          <w:rFonts w:ascii="Times New Roman" w:hAnsi="Times New Roman" w:cs="Times New Roman"/>
          <w:bCs/>
          <w:sz w:val="24"/>
          <w:szCs w:val="24"/>
        </w:rPr>
        <w:t xml:space="preserve"> на базі серверного обладнання </w:t>
      </w:r>
      <w:r>
        <w:rPr>
          <w:rFonts w:ascii="Times New Roman" w:hAnsi="Times New Roman" w:cs="Times New Roman"/>
          <w:bCs/>
          <w:sz w:val="24"/>
          <w:szCs w:val="24"/>
        </w:rPr>
        <w:t xml:space="preserve">Lenovo</w:t>
      </w:r>
      <w:r>
        <w:rPr>
          <w:rFonts w:ascii="Times New Roman" w:hAnsi="Times New Roman" w:cs="Times New Roman"/>
          <w:bCs/>
          <w:sz w:val="24"/>
          <w:szCs w:val="24"/>
        </w:rPr>
        <w:t xml:space="preserve"> </w:t>
      </w:r>
      <w:r>
        <w:rPr>
          <w:rFonts w:ascii="Times New Roman" w:hAnsi="Times New Roman" w:cs="Times New Roman"/>
          <w:bCs/>
          <w:sz w:val="24"/>
          <w:szCs w:val="24"/>
        </w:rPr>
        <w:t xml:space="preserve">ThinkAgile</w:t>
      </w:r>
      <w:r>
        <w:rPr>
          <w:rFonts w:ascii="Times New Roman" w:hAnsi="Times New Roman" w:cs="Times New Roman"/>
          <w:bCs/>
          <w:sz w:val="24"/>
          <w:szCs w:val="24"/>
        </w:rPr>
        <w:t xml:space="preserve"> HX650 V3 (або аналог)</w:t>
      </w:r>
      <w:r>
        <w:rPr>
          <w:rFonts w:ascii="Times New Roman" w:hAnsi="Times New Roman" w:cs="Times New Roman"/>
          <w:bCs/>
          <w:sz w:val="24"/>
          <w:szCs w:val="24"/>
        </w:rPr>
        <w:t xml:space="preserve"> м. Львів</w:t>
      </w:r>
      <w:r>
        <w:rPr>
          <w:rFonts w:ascii="Times New Roman" w:hAnsi="Times New Roman" w:cs="Times New Roman"/>
          <w:bCs/>
          <w:sz w:val="24"/>
          <w:szCs w:val="24"/>
        </w:rPr>
        <w:t xml:space="preserve"> за ДК 021:2015: 48820000-2 Сервери</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742"/>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44"/>
              <w:jc w:val="center"/>
              <w:rPr>
                <w:b/>
                <w:bCs/>
              </w:rPr>
            </w:pPr>
            <w:r>
              <w:rPr>
                <w:b/>
                <w:bCs/>
              </w:rPr>
              <w:t xml:space="preserve">№ п/п</w:t>
            </w:r>
            <w:r/>
          </w:p>
        </w:tc>
        <w:tc>
          <w:tcPr>
            <w:tcW w:w="5670" w:type="dxa"/>
            <w:textDirection w:val="lrTb"/>
            <w:noWrap w:val="false"/>
          </w:tcPr>
          <w:p>
            <w:pPr>
              <w:pStyle w:val="744"/>
              <w:jc w:val="center"/>
              <w:rPr>
                <w:b/>
                <w:bCs/>
              </w:rPr>
            </w:pPr>
            <w:r>
              <w:rPr>
                <w:b/>
                <w:bCs/>
              </w:rPr>
              <w:t xml:space="preserve">Назва системи</w:t>
            </w:r>
            <w:r/>
          </w:p>
        </w:tc>
        <w:tc>
          <w:tcPr>
            <w:tcW w:w="1701" w:type="dxa"/>
            <w:textDirection w:val="lrTb"/>
            <w:noWrap w:val="false"/>
          </w:tcPr>
          <w:p>
            <w:pPr>
              <w:pStyle w:val="744"/>
              <w:jc w:val="center"/>
              <w:rPr>
                <w:b/>
                <w:bCs/>
              </w:rPr>
            </w:pPr>
            <w:r>
              <w:rPr>
                <w:b/>
                <w:bCs/>
              </w:rPr>
              <w:t xml:space="preserve">Одиниця виміру</w:t>
            </w:r>
            <w:r/>
          </w:p>
        </w:tc>
        <w:tc>
          <w:tcPr>
            <w:tcW w:w="1701" w:type="dxa"/>
            <w:textDirection w:val="lrTb"/>
            <w:noWrap w:val="false"/>
          </w:tcPr>
          <w:p>
            <w:pPr>
              <w:pStyle w:val="744"/>
              <w:jc w:val="center"/>
              <w:rPr>
                <w:b/>
                <w:bCs/>
              </w:rPr>
            </w:pPr>
            <w:r>
              <w:rPr>
                <w:b/>
                <w:bCs/>
              </w:rPr>
              <w:t xml:space="preserve">Кількість</w:t>
            </w:r>
            <w:r/>
          </w:p>
        </w:tc>
      </w:tr>
      <w:tr>
        <w:trPr/>
        <w:tc>
          <w:tcPr>
            <w:tcW w:w="562" w:type="dxa"/>
            <w:vAlign w:val="center"/>
            <w:textDirection w:val="lrTb"/>
            <w:noWrap w:val="false"/>
          </w:tcPr>
          <w:p>
            <w:pPr>
              <w:pStyle w:val="744"/>
              <w:jc w:val="center"/>
              <w:rPr>
                <w:b/>
                <w:bCs/>
              </w:rPr>
            </w:pPr>
            <w:r>
              <w:rPr>
                <w:b/>
                <w:bCs/>
              </w:rPr>
              <w:t xml:space="preserve">1</w:t>
            </w:r>
            <w:r/>
          </w:p>
        </w:tc>
        <w:tc>
          <w:tcPr>
            <w:tcW w:w="5670" w:type="dxa"/>
            <w:vAlign w:val="center"/>
            <w:textDirection w:val="lrTb"/>
            <w:noWrap w:val="false"/>
          </w:tcPr>
          <w:p>
            <w:pPr>
              <w:pStyle w:val="744"/>
              <w:rPr>
                <w:b/>
                <w:bCs/>
              </w:rPr>
            </w:pPr>
            <w:r>
              <w:rPr>
                <w:b/>
              </w:rPr>
              <w:t xml:space="preserve">Серверний апаратно-програмний комплекс для побудови </w:t>
            </w:r>
            <w:r>
              <w:rPr>
                <w:b/>
              </w:rPr>
              <w:t xml:space="preserve">гіперконвергентного</w:t>
            </w:r>
            <w:r>
              <w:rPr>
                <w:b/>
              </w:rPr>
              <w:t xml:space="preserve"> рішення </w:t>
            </w:r>
            <w:r>
              <w:rPr>
                <w:b/>
              </w:rPr>
              <w:t xml:space="preserve">Nutanix</w:t>
            </w:r>
            <w:r>
              <w:rPr>
                <w:b/>
              </w:rPr>
              <w:t xml:space="preserve"> </w:t>
            </w:r>
            <w:r>
              <w:rPr>
                <w:b/>
              </w:rPr>
              <w:t xml:space="preserve">Cloud</w:t>
            </w:r>
            <w:r>
              <w:rPr>
                <w:b/>
              </w:rPr>
              <w:t xml:space="preserve"> </w:t>
            </w:r>
            <w:r>
              <w:rPr>
                <w:b/>
              </w:rPr>
              <w:t xml:space="preserve">Infrastructure</w:t>
            </w:r>
            <w:r>
              <w:rPr>
                <w:b/>
              </w:rPr>
              <w:t xml:space="preserve"> на базі серверного обладнання </w:t>
            </w:r>
            <w:r>
              <w:rPr>
                <w:b/>
              </w:rPr>
              <w:t xml:space="preserve">Lenovo</w:t>
            </w:r>
            <w:r>
              <w:rPr>
                <w:b/>
              </w:rPr>
              <w:t xml:space="preserve"> </w:t>
            </w:r>
            <w:r>
              <w:rPr>
                <w:b/>
              </w:rPr>
              <w:t xml:space="preserve">ThinkAgile</w:t>
            </w:r>
            <w:r>
              <w:rPr>
                <w:b/>
              </w:rPr>
              <w:t xml:space="preserve"> HX650 V3 </w:t>
            </w:r>
            <w:r/>
          </w:p>
        </w:tc>
        <w:tc>
          <w:tcPr>
            <w:tcW w:w="1701" w:type="dxa"/>
            <w:vAlign w:val="center"/>
            <w:textDirection w:val="lrTb"/>
            <w:noWrap w:val="false"/>
          </w:tcPr>
          <w:p>
            <w:pPr>
              <w:pStyle w:val="744"/>
              <w:jc w:val="center"/>
              <w:rPr>
                <w:b/>
                <w:bCs/>
              </w:rPr>
            </w:pPr>
            <w:r>
              <w:rPr>
                <w:b/>
                <w:bCs/>
              </w:rPr>
              <w:t xml:space="preserve">компл</w:t>
            </w:r>
            <w:r>
              <w:rPr>
                <w:b/>
                <w:bCs/>
              </w:rPr>
              <w:t xml:space="preserve">.</w:t>
            </w:r>
            <w:r/>
          </w:p>
        </w:tc>
        <w:tc>
          <w:tcPr>
            <w:tcW w:w="1701" w:type="dxa"/>
            <w:vAlign w:val="center"/>
            <w:textDirection w:val="lrTb"/>
            <w:noWrap w:val="false"/>
          </w:tcPr>
          <w:p>
            <w:pPr>
              <w:pStyle w:val="744"/>
              <w:jc w:val="center"/>
              <w:rPr>
                <w:b/>
                <w:bCs/>
              </w:rPr>
            </w:pPr>
            <w:r>
              <w:rPr>
                <w:b/>
                <w:bCs/>
              </w:rPr>
              <w:t xml:space="preserve">1</w:t>
            </w:r>
            <w:r/>
          </w:p>
        </w:tc>
      </w:tr>
    </w:tbl>
    <w:p>
      <w:pPr>
        <w:pStyle w:val="744"/>
        <w:jc w:val="both"/>
        <w:spacing w:after="0" w:line="240" w:lineRule="auto"/>
        <w:rPr>
          <w:b/>
          <w:bCs/>
          <w:i/>
          <w:iCs/>
          <w:lang w:eastAsia="ru-RU"/>
        </w:rPr>
      </w:pPr>
      <w:r>
        <w:rPr>
          <w:b/>
          <w:bCs/>
          <w:i/>
          <w:iCs/>
          <w:lang w:eastAsia="ru-RU"/>
        </w:rPr>
      </w:r>
      <w:r/>
    </w:p>
    <w:p>
      <w:pPr>
        <w:pStyle w:val="744"/>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w:t>
      </w:r>
      <w:r>
        <w:rPr>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w:t>
      </w:r>
      <w:r/>
    </w:p>
    <w:p>
      <w:pPr>
        <w:pStyle w:val="744"/>
        <w:jc w:val="both"/>
        <w:spacing w:after="0" w:line="240" w:lineRule="auto"/>
        <w:rPr>
          <w:b/>
          <w:bCs/>
          <w:i/>
          <w:iCs/>
          <w:lang w:eastAsia="ru-RU"/>
        </w:rPr>
      </w:pPr>
      <w:r>
        <w:rPr>
          <w:b/>
          <w:bCs/>
          <w:i/>
          <w:iCs/>
          <w:lang w:eastAsia="ru-RU"/>
        </w:rPr>
      </w:r>
      <w:r/>
    </w:p>
    <w:p>
      <w:pPr>
        <w:ind w:firstLine="567"/>
        <w:jc w:val="both"/>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Характеристики товару повинні відповідати вимогам або бути кращими тих, які наведені в таблиці.</w:t>
      </w:r>
      <w:r>
        <w:rPr>
          <w:rFonts w:ascii="Times New Roman" w:hAnsi="Times New Roman" w:cs="Times New Roman"/>
          <w:sz w:val="24"/>
          <w:szCs w:val="24"/>
          <w:lang w:eastAsia="uk-UA"/>
        </w:rPr>
        <w:t xml:space="preserve"> Пропо</w:t>
      </w:r>
      <w:r>
        <w:rPr>
          <w:rFonts w:ascii="Times New Roman" w:hAnsi="Times New Roman" w:cs="Times New Roman"/>
          <w:sz w:val="24"/>
          <w:szCs w:val="24"/>
          <w:lang w:eastAsia="uk-UA"/>
        </w:rPr>
        <w:t xml:space="preserve">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 Товар по</w:t>
      </w:r>
      <w:r>
        <w:rPr>
          <w:rFonts w:ascii="Times New Roman" w:hAnsi="Times New Roman" w:cs="Times New Roman"/>
          <w:sz w:val="24"/>
          <w:szCs w:val="24"/>
          <w:lang w:eastAsia="uk-UA"/>
        </w:rPr>
        <w:t xml:space="preserve">винен бути новим, з повною комплектацією. З товаром поставляються технічний паспорт чи інструкція з експлуатації українською мовою, гарантійні талони, набір драйверів тощо,  передбачених для товару. Упаковка, в якій постачається товар, повинна відповідати </w:t>
      </w:r>
      <w:r>
        <w:rPr>
          <w:rFonts w:ascii="Times New Roman" w:hAnsi="Times New Roman" w:cs="Times New Roman"/>
          <w:sz w:val="24"/>
          <w:szCs w:val="24"/>
          <w:lang w:eastAsia="uk-UA"/>
        </w:rPr>
        <w:t xml:space="preserve">загальноприйнятим стандартам та технічним умовам, забезпечувати зберігання товару, та/або його неушкодженість при транспортуванні.</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 Технічні та якісні характеристики повинні відповідати вимогам та стандартам відповідних діючих нормативних документів.</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r/>
    </w:p>
    <w:p>
      <w:pPr>
        <w:jc w:val="both"/>
        <w:spacing w:after="0" w:line="240" w:lineRule="auto"/>
        <w:rPr>
          <w:rFonts w:ascii="Times New Roman" w:hAnsi="Times New Roman" w:cs="Times New Roman"/>
          <w:sz w:val="24"/>
          <w:szCs w:val="24"/>
          <w:lang w:eastAsia="ar-SA"/>
        </w:rPr>
      </w:pPr>
      <w:r>
        <w:rPr>
          <w:rFonts w:ascii="Times New Roman" w:hAnsi="Times New Roman" w:eastAsia="Calibri" w:cs="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w:t>
      </w:r>
      <w:r>
        <w:rPr>
          <w:rFonts w:ascii="Times New Roman" w:hAnsi="Times New Roman" w:cs="Times New Roman"/>
          <w:sz w:val="24"/>
          <w:szCs w:val="24"/>
          <w:lang w:eastAsia="ar-SA"/>
        </w:rPr>
        <w:t xml:space="preserve">Учасник повинен забезпечити обслуговування (підтримку) протягом гарантійного терміну. </w:t>
      </w:r>
      <w:r/>
    </w:p>
    <w:p>
      <w:pPr>
        <w:pStyle w:val="756"/>
        <w:jc w:val="both"/>
        <w:rPr>
          <w:rStyle w:val="766"/>
          <w:sz w:val="24"/>
          <w:szCs w:val="24"/>
        </w:rPr>
      </w:pPr>
      <w:r>
        <w:rPr>
          <w:sz w:val="24"/>
          <w:szCs w:val="24"/>
        </w:rPr>
      </w:r>
      <w:r/>
    </w:p>
    <w:p>
      <w:pPr>
        <w:ind w:left="14" w:firstLine="538"/>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Таблиця відповідності</w:t>
      </w:r>
      <w:r/>
    </w:p>
    <w:p>
      <w:pPr>
        <w:contextualSpacing/>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tbl>
      <w:tblPr>
        <w:tblpPr w:horzAnchor="margin" w:tblpXSpec="left" w:vertAnchor="text" w:tblpY="-62" w:leftFromText="180" w:topFromText="0" w:rightFromText="180" w:bottomFromText="0"/>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7"/>
        <w:gridCol w:w="2928"/>
        <w:gridCol w:w="3163"/>
        <w:gridCol w:w="2943"/>
      </w:tblGrid>
      <w:tr>
        <w:trPr/>
        <w:tc>
          <w:tcPr>
            <w:tcW w:w="520"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 з/п</w:t>
            </w:r>
            <w:r/>
          </w:p>
        </w:tc>
        <w:tc>
          <w:tcPr>
            <w:tcW w:w="3000" w:type="dxa"/>
            <w:vAlign w:val="center"/>
            <w:textDirection w:val="lrTb"/>
            <w:noWrap w:val="false"/>
          </w:tcPr>
          <w:p>
            <w:pPr>
              <w:contextualSpacing/>
              <w:ind w:left="14" w:firstLine="538"/>
              <w:jc w:val="cente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Характеристика</w:t>
            </w:r>
            <w:r/>
          </w:p>
        </w:tc>
        <w:tc>
          <w:tcPr>
            <w:tcW w:w="3396"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визначені Замовником</w:t>
            </w:r>
            <w:r/>
          </w:p>
        </w:tc>
        <w:tc>
          <w:tcPr>
            <w:tcW w:w="3115"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пропонуються Учасником</w:t>
            </w:r>
            <w:r/>
          </w:p>
        </w:tc>
      </w:tr>
    </w:tbl>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Товар повинен відповідати вимогам:</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r>
        <w:rPr>
          <w:rFonts w:ascii="Times New Roman" w:hAnsi="Times New Roman" w:cs="Times New Roman"/>
          <w:bCs/>
          <w:iCs/>
          <w:sz w:val="24"/>
          <w:szCs w:val="24"/>
        </w:rPr>
        <w:t xml:space="preserve">закупівель</w:t>
      </w:r>
      <w:r>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bCs/>
          <w:iCs/>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r/>
    </w:p>
    <w:p>
      <w:pPr>
        <w:ind w:firstLine="263"/>
        <w:jc w:val="both"/>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ТЕХНІЧНІ ВИМОГИ</w:t>
      </w:r>
      <w:r/>
    </w:p>
    <w:p>
      <w:pPr>
        <w:ind w:left="-284"/>
        <w:jc w:val="center"/>
        <w:spacing w:after="0" w:line="240" w:lineRule="auto"/>
        <w:rPr>
          <w:rFonts w:ascii="Times New Roman" w:hAnsi="Times New Roman" w:cs="Times New Roman"/>
          <w:bCs/>
          <w:sz w:val="24"/>
          <w:szCs w:val="24"/>
        </w:rPr>
      </w:pPr>
      <w:r>
        <w:rPr>
          <w:rFonts w:ascii="Times New Roman" w:hAnsi="Times New Roman" w:cs="Times New Roman"/>
          <w:bCs/>
          <w:sz w:val="24"/>
          <w:szCs w:val="24"/>
        </w:rPr>
      </w:r>
      <w:r/>
    </w:p>
    <w:tbl>
      <w:tblPr>
        <w:tblW w:w="9640"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9"/>
        <w:gridCol w:w="1702"/>
        <w:gridCol w:w="4344"/>
        <w:gridCol w:w="1408"/>
        <w:gridCol w:w="1477"/>
      </w:tblGrid>
      <w:tr>
        <w:trPr/>
        <w:tc>
          <w:tcPr>
            <w:shd w:val="clear" w:color="auto" w:fill="d9d9d9"/>
            <w:tcW w:w="709"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з/п</w:t>
            </w:r>
            <w:r/>
          </w:p>
        </w:tc>
        <w:tc>
          <w:tcPr>
            <w:gridSpan w:val="2"/>
            <w:shd w:val="clear" w:color="auto" w:fill="d9d9d9"/>
            <w:tcW w:w="6046"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Найменування обладнання, технічні характеристики та вимоги до обладнання</w:t>
            </w:r>
            <w:r/>
          </w:p>
        </w:tc>
        <w:tc>
          <w:tcPr>
            <w:shd w:val="clear" w:color="auto" w:fill="d9d9d9"/>
            <w:tcW w:w="1408"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Одиниця виміру</w:t>
            </w:r>
            <w:r/>
          </w:p>
        </w:tc>
        <w:tc>
          <w:tcPr>
            <w:shd w:val="clear" w:color="auto" w:fill="d9d9d9"/>
            <w:tcW w:w="1477"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Кількість</w:t>
            </w:r>
            <w:r/>
          </w:p>
        </w:tc>
      </w:tr>
      <w:tr>
        <w:trPr/>
        <w:tc>
          <w:tcPr>
            <w:shd w:val="clear" w:color="auto" w:fill="d9d9d9"/>
            <w:tcW w:w="709"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w:t>
            </w:r>
            <w:r/>
          </w:p>
        </w:tc>
        <w:tc>
          <w:tcPr>
            <w:gridSpan w:val="2"/>
            <w:shd w:val="clear" w:color="auto" w:fill="d9d9d9"/>
            <w:tcW w:w="6046"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w:t>
            </w:r>
            <w:r/>
          </w:p>
        </w:tc>
        <w:tc>
          <w:tcPr>
            <w:shd w:val="clear" w:color="auto" w:fill="d9d9d9"/>
            <w:tcW w:w="1408"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3</w:t>
            </w:r>
            <w:r/>
          </w:p>
        </w:tc>
        <w:tc>
          <w:tcPr>
            <w:shd w:val="clear" w:color="auto" w:fill="d9d9d9"/>
            <w:tcW w:w="1477"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4</w:t>
            </w:r>
            <w:r/>
          </w:p>
        </w:tc>
      </w:tr>
      <w:tr>
        <w:trPr/>
        <w:tc>
          <w:tcPr>
            <w:tcW w:w="709"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w:t>
            </w:r>
            <w:r/>
          </w:p>
        </w:tc>
        <w:tc>
          <w:tcPr>
            <w:gridSpan w:val="2"/>
            <w:tcW w:w="6046" w:type="dxa"/>
            <w:vAlign w:val="center"/>
            <w:textDirection w:val="lrTb"/>
            <w:noWrap w:val="false"/>
          </w:tcPr>
          <w:p>
            <w:pPr>
              <w:spacing w:after="0" w:line="240" w:lineRule="auto"/>
              <w:rPr>
                <w:rFonts w:ascii="Times New Roman" w:hAnsi="Times New Roman" w:cs="Times New Roman"/>
                <w:b/>
                <w:bCs/>
                <w:i/>
                <w:sz w:val="24"/>
                <w:szCs w:val="24"/>
              </w:rPr>
            </w:pPr>
            <w:r>
              <w:rPr>
                <w:rFonts w:ascii="Times New Roman" w:hAnsi="Times New Roman" w:cs="Times New Roman"/>
                <w:b/>
                <w:sz w:val="24"/>
                <w:szCs w:val="24"/>
              </w:rPr>
              <w:t xml:space="preserve">Серверний апаратно-програмний комплекс для побудови </w:t>
            </w:r>
            <w:r>
              <w:rPr>
                <w:rFonts w:ascii="Times New Roman" w:hAnsi="Times New Roman" w:cs="Times New Roman"/>
                <w:b/>
                <w:sz w:val="24"/>
                <w:szCs w:val="24"/>
              </w:rPr>
              <w:t xml:space="preserve">гіперконвергентного</w:t>
            </w:r>
            <w:r>
              <w:rPr>
                <w:rFonts w:ascii="Times New Roman" w:hAnsi="Times New Roman" w:cs="Times New Roman"/>
                <w:b/>
                <w:sz w:val="24"/>
                <w:szCs w:val="24"/>
              </w:rPr>
              <w:t xml:space="preserve"> рішення </w:t>
            </w:r>
            <w:r>
              <w:rPr>
                <w:rFonts w:ascii="Times New Roman" w:hAnsi="Times New Roman" w:cs="Times New Roman"/>
                <w:b/>
                <w:sz w:val="24"/>
                <w:szCs w:val="24"/>
              </w:rPr>
              <w:t xml:space="preserve">Nutanix</w:t>
            </w:r>
            <w:r>
              <w:rPr>
                <w:rFonts w:ascii="Times New Roman" w:hAnsi="Times New Roman" w:cs="Times New Roman"/>
                <w:b/>
                <w:sz w:val="24"/>
                <w:szCs w:val="24"/>
              </w:rPr>
              <w:t xml:space="preserve"> </w:t>
            </w:r>
            <w:r>
              <w:rPr>
                <w:rFonts w:ascii="Times New Roman" w:hAnsi="Times New Roman" w:cs="Times New Roman"/>
                <w:b/>
                <w:sz w:val="24"/>
                <w:szCs w:val="24"/>
              </w:rPr>
              <w:t xml:space="preserve">Cloud</w:t>
            </w:r>
            <w:r>
              <w:rPr>
                <w:rFonts w:ascii="Times New Roman" w:hAnsi="Times New Roman" w:cs="Times New Roman"/>
                <w:b/>
                <w:sz w:val="24"/>
                <w:szCs w:val="24"/>
              </w:rPr>
              <w:t xml:space="preserve"> </w:t>
            </w:r>
            <w:r>
              <w:rPr>
                <w:rFonts w:ascii="Times New Roman" w:hAnsi="Times New Roman" w:cs="Times New Roman"/>
                <w:b/>
                <w:sz w:val="24"/>
                <w:szCs w:val="24"/>
              </w:rPr>
              <w:t xml:space="preserve">Infrastructure</w:t>
            </w:r>
            <w:r>
              <w:rPr>
                <w:rFonts w:ascii="Times New Roman" w:hAnsi="Times New Roman" w:cs="Times New Roman"/>
                <w:b/>
                <w:sz w:val="24"/>
                <w:szCs w:val="24"/>
              </w:rPr>
              <w:t xml:space="preserve"> на базі серверного обладнання </w:t>
            </w:r>
            <w:r>
              <w:rPr>
                <w:rFonts w:ascii="Times New Roman" w:hAnsi="Times New Roman" w:cs="Times New Roman"/>
                <w:b/>
                <w:sz w:val="24"/>
                <w:szCs w:val="24"/>
              </w:rPr>
              <w:t xml:space="preserve">Lenovo</w:t>
            </w:r>
            <w:r>
              <w:rPr>
                <w:rFonts w:ascii="Times New Roman" w:hAnsi="Times New Roman" w:cs="Times New Roman"/>
                <w:b/>
                <w:sz w:val="24"/>
                <w:szCs w:val="24"/>
              </w:rPr>
              <w:t xml:space="preserve"> </w:t>
            </w:r>
            <w:r>
              <w:rPr>
                <w:rFonts w:ascii="Times New Roman" w:hAnsi="Times New Roman" w:cs="Times New Roman"/>
                <w:b/>
                <w:sz w:val="24"/>
                <w:szCs w:val="24"/>
              </w:rPr>
              <w:t xml:space="preserve">ThinkAgile</w:t>
            </w:r>
            <w:r>
              <w:rPr>
                <w:rFonts w:ascii="Times New Roman" w:hAnsi="Times New Roman" w:cs="Times New Roman"/>
                <w:b/>
                <w:sz w:val="24"/>
                <w:szCs w:val="24"/>
              </w:rPr>
              <w:t xml:space="preserve"> HX650 V3</w:t>
            </w:r>
            <w:r>
              <w:rPr>
                <w:rFonts w:ascii="Times New Roman" w:hAnsi="Times New Roman" w:cs="Times New Roman"/>
                <w:b/>
                <w:bCs/>
                <w:sz w:val="24"/>
                <w:szCs w:val="24"/>
              </w:rPr>
              <w:t xml:space="preserve"> (або аналог)</w:t>
            </w:r>
            <w:r/>
          </w:p>
        </w:tc>
        <w:tc>
          <w:tcPr>
            <w:tcW w:w="1408"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комплект</w:t>
            </w:r>
            <w:r/>
          </w:p>
        </w:tc>
        <w:tc>
          <w:tcPr>
            <w:tcW w:w="1477"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w:t>
            </w:r>
            <w:r/>
          </w:p>
        </w:tc>
      </w:tr>
      <w:tr>
        <w:trPr/>
        <w:tc>
          <w:tcPr>
            <w:tcW w:w="709" w:type="dxa"/>
            <w:vAlign w:val="center"/>
            <w:textDirection w:val="lrTb"/>
            <w:noWrap w:val="false"/>
          </w:tcPr>
          <w:p>
            <w:pPr>
              <w:ind w:left="5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w:t>
            </w:r>
            <w:r/>
          </w:p>
        </w:tc>
        <w:tc>
          <w:tcPr>
            <w:tcW w:w="1702" w:type="dxa"/>
            <w:vAlign w:val="center"/>
            <w:textDirection w:val="lrTb"/>
            <w:noWrap w:val="false"/>
          </w:tcPr>
          <w:p>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Форм-фактор:</w:t>
            </w:r>
            <w:r/>
          </w:p>
        </w:tc>
        <w:tc>
          <w:tcPr>
            <w:gridSpan w:val="3"/>
            <w:tcW w:w="7229" w:type="dxa"/>
            <w:vAlign w:val="center"/>
            <w:textDirection w:val="lrTb"/>
            <w:noWrap w:val="false"/>
          </w:tcPr>
          <w:p>
            <w:pPr>
              <w:numPr>
                <w:ilvl w:val="0"/>
                <w:numId w:val="44"/>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Сервер для інсталяції в 19" стандартну шафу</w:t>
            </w:r>
            <w:r/>
          </w:p>
          <w:p>
            <w:pPr>
              <w:numPr>
                <w:ilvl w:val="0"/>
                <w:numId w:val="44"/>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Висота не більше 2U</w:t>
            </w:r>
            <w:r/>
          </w:p>
        </w:tc>
      </w:tr>
      <w:tr>
        <w:trPr/>
        <w:tc>
          <w:tcPr>
            <w:tcW w:w="709" w:type="dxa"/>
            <w:vAlign w:val="center"/>
            <w:textDirection w:val="lrTb"/>
            <w:noWrap w:val="false"/>
          </w:tcPr>
          <w:p>
            <w:pPr>
              <w:ind w:left="5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w:t>
            </w:r>
            <w:r/>
          </w:p>
        </w:tc>
        <w:tc>
          <w:tcPr>
            <w:tcW w:w="170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Процесор:</w:t>
            </w:r>
            <w:r/>
          </w:p>
        </w:tc>
        <w:tc>
          <w:tcPr>
            <w:gridSpan w:val="3"/>
            <w:tcW w:w="7229" w:type="dxa"/>
            <w:vAlign w:val="center"/>
            <w:textDirection w:val="lrTb"/>
            <w:noWrap w:val="false"/>
          </w:tcPr>
          <w:p>
            <w:pPr>
              <w:numPr>
                <w:ilvl w:val="0"/>
                <w:numId w:val="44"/>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процесорів не менш ніж 2;</w:t>
            </w:r>
            <w:r/>
          </w:p>
          <w:p>
            <w:pPr>
              <w:numPr>
                <w:ilvl w:val="0"/>
                <w:numId w:val="44"/>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базова частота не нижче 2,9 </w:t>
            </w:r>
            <w:r>
              <w:rPr>
                <w:rFonts w:ascii="Times New Roman" w:hAnsi="Times New Roman" w:cs="Times New Roman"/>
                <w:sz w:val="24"/>
                <w:szCs w:val="24"/>
              </w:rPr>
              <w:t xml:space="preserve">GHz</w:t>
            </w:r>
            <w:r>
              <w:rPr>
                <w:rFonts w:ascii="Times New Roman" w:hAnsi="Times New Roman" w:cs="Times New Roman"/>
                <w:sz w:val="24"/>
                <w:szCs w:val="24"/>
              </w:rPr>
              <w:t xml:space="preserve">;</w:t>
            </w:r>
            <w:r/>
          </w:p>
          <w:p>
            <w:pPr>
              <w:numPr>
                <w:ilvl w:val="0"/>
                <w:numId w:val="44"/>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w:t>
            </w:r>
            <w:r>
              <w:rPr>
                <w:rFonts w:ascii="Times New Roman" w:hAnsi="Times New Roman" w:cs="Times New Roman"/>
                <w:sz w:val="24"/>
                <w:szCs w:val="24"/>
              </w:rPr>
              <w:t xml:space="preserve">ядер</w:t>
            </w:r>
            <w:r>
              <w:rPr>
                <w:rFonts w:ascii="Times New Roman" w:hAnsi="Times New Roman" w:cs="Times New Roman"/>
                <w:sz w:val="24"/>
                <w:szCs w:val="24"/>
              </w:rPr>
              <w:t xml:space="preserve"> не менше ніж 8;</w:t>
            </w:r>
            <w:r/>
          </w:p>
          <w:p>
            <w:pPr>
              <w:numPr>
                <w:ilvl w:val="0"/>
                <w:numId w:val="44"/>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менше 22.5 МБ кеш-пам'яті третього рівня;</w:t>
            </w:r>
            <w:r/>
          </w:p>
          <w:p>
            <w:pPr>
              <w:numPr>
                <w:ilvl w:val="0"/>
                <w:numId w:val="44"/>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енергоспоживання не більше 150 Вт;</w:t>
            </w:r>
            <w:r/>
          </w:p>
          <w:p>
            <w:pPr>
              <w:numPr>
                <w:ilvl w:val="0"/>
                <w:numId w:val="44"/>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технології віртуалізації </w:t>
            </w:r>
            <w:r>
              <w:rPr>
                <w:rFonts w:ascii="Times New Roman" w:hAnsi="Times New Roman" w:cs="Times New Roman"/>
                <w:sz w:val="24"/>
                <w:szCs w:val="24"/>
              </w:rPr>
              <w:t xml:space="preserve">Intel</w:t>
            </w:r>
            <w:r>
              <w:rPr>
                <w:rFonts w:ascii="Times New Roman" w:hAnsi="Times New Roman" w:cs="Times New Roman"/>
                <w:sz w:val="24"/>
                <w:szCs w:val="24"/>
              </w:rPr>
              <w:t xml:space="preserve"> VT-x.</w:t>
            </w:r>
            <w:r/>
          </w:p>
        </w:tc>
      </w:tr>
      <w:tr>
        <w:trPr/>
        <w:tc>
          <w:tcPr>
            <w:tcW w:w="709" w:type="dxa"/>
            <w:vAlign w:val="center"/>
            <w:textDirection w:val="lrTb"/>
            <w:noWrap w:val="false"/>
          </w:tcPr>
          <w:p>
            <w:pPr>
              <w:ind w:left="5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w:t>
            </w:r>
            <w:r/>
          </w:p>
        </w:tc>
        <w:tc>
          <w:tcPr>
            <w:tcW w:w="170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Пам’ять:</w:t>
            </w:r>
            <w:r/>
          </w:p>
        </w:tc>
        <w:tc>
          <w:tcPr>
            <w:gridSpan w:val="3"/>
            <w:tcW w:w="7229" w:type="dxa"/>
            <w:vAlign w:val="center"/>
            <w:textDirection w:val="lrTb"/>
            <w:noWrap w:val="false"/>
          </w:tcPr>
          <w:p>
            <w:pPr>
              <w:numPr>
                <w:ilvl w:val="0"/>
                <w:numId w:val="44"/>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Встановлено не менше 512 GB пам'яті типу DDR5-4800.</w:t>
            </w:r>
            <w:r/>
          </w:p>
          <w:p>
            <w:pPr>
              <w:numPr>
                <w:ilvl w:val="0"/>
                <w:numId w:val="44"/>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механізму корекції помилок ECC, SDDC, ADDDC, </w:t>
            </w:r>
            <w:r>
              <w:rPr>
                <w:rFonts w:ascii="Times New Roman" w:hAnsi="Times New Roman" w:cs="Times New Roman"/>
                <w:sz w:val="24"/>
                <w:szCs w:val="24"/>
              </w:rPr>
              <w:t xml:space="preserve">memory</w:t>
            </w:r>
            <w:r>
              <w:rPr>
                <w:rFonts w:ascii="Times New Roman" w:hAnsi="Times New Roman" w:cs="Times New Roman"/>
                <w:sz w:val="24"/>
                <w:szCs w:val="24"/>
              </w:rPr>
              <w:t xml:space="preserve"> </w:t>
            </w:r>
            <w:r>
              <w:rPr>
                <w:rFonts w:ascii="Times New Roman" w:hAnsi="Times New Roman" w:cs="Times New Roman"/>
                <w:sz w:val="24"/>
                <w:szCs w:val="24"/>
              </w:rPr>
              <w:t xml:space="preserve">mirroring</w:t>
            </w:r>
            <w:r>
              <w:rPr>
                <w:rFonts w:ascii="Times New Roman" w:hAnsi="Times New Roman" w:cs="Times New Roman"/>
                <w:sz w:val="24"/>
                <w:szCs w:val="24"/>
              </w:rPr>
              <w:t xml:space="preserve">, </w:t>
            </w:r>
            <w:r>
              <w:rPr>
                <w:rFonts w:ascii="Times New Roman" w:hAnsi="Times New Roman" w:cs="Times New Roman"/>
                <w:sz w:val="24"/>
                <w:szCs w:val="24"/>
              </w:rPr>
              <w:t xml:space="preserve">memory</w:t>
            </w:r>
            <w:r>
              <w:rPr>
                <w:rFonts w:ascii="Times New Roman" w:hAnsi="Times New Roman" w:cs="Times New Roman"/>
                <w:sz w:val="24"/>
                <w:szCs w:val="24"/>
              </w:rPr>
              <w:t xml:space="preserve"> </w:t>
            </w:r>
            <w:r>
              <w:rPr>
                <w:rFonts w:ascii="Times New Roman" w:hAnsi="Times New Roman" w:cs="Times New Roman"/>
                <w:sz w:val="24"/>
                <w:szCs w:val="24"/>
              </w:rPr>
              <w:t xml:space="preserve">rank</w:t>
            </w:r>
            <w:r>
              <w:rPr>
                <w:rFonts w:ascii="Times New Roman" w:hAnsi="Times New Roman" w:cs="Times New Roman"/>
                <w:sz w:val="24"/>
                <w:szCs w:val="24"/>
              </w:rPr>
              <w:t xml:space="preserve"> </w:t>
            </w:r>
            <w:r>
              <w:rPr>
                <w:rFonts w:ascii="Times New Roman" w:hAnsi="Times New Roman" w:cs="Times New Roman"/>
                <w:sz w:val="24"/>
                <w:szCs w:val="24"/>
              </w:rPr>
              <w:t xml:space="preserve">sparing</w:t>
            </w:r>
            <w:r>
              <w:rPr>
                <w:rFonts w:ascii="Times New Roman" w:hAnsi="Times New Roman" w:cs="Times New Roman"/>
                <w:sz w:val="24"/>
                <w:szCs w:val="24"/>
              </w:rPr>
              <w:t xml:space="preserve">, </w:t>
            </w:r>
            <w:r>
              <w:rPr>
                <w:rFonts w:ascii="Times New Roman" w:hAnsi="Times New Roman" w:cs="Times New Roman"/>
                <w:sz w:val="24"/>
                <w:szCs w:val="24"/>
              </w:rPr>
              <w:t xml:space="preserve">patrol</w:t>
            </w:r>
            <w:r>
              <w:rPr>
                <w:rFonts w:ascii="Times New Roman" w:hAnsi="Times New Roman" w:cs="Times New Roman"/>
                <w:sz w:val="24"/>
                <w:szCs w:val="24"/>
              </w:rPr>
              <w:t xml:space="preserve"> </w:t>
            </w:r>
            <w:r>
              <w:rPr>
                <w:rFonts w:ascii="Times New Roman" w:hAnsi="Times New Roman" w:cs="Times New Roman"/>
                <w:sz w:val="24"/>
                <w:szCs w:val="24"/>
              </w:rPr>
              <w:t xml:space="preserve">scrubbing</w:t>
            </w:r>
            <w:r>
              <w:rPr>
                <w:rFonts w:ascii="Times New Roman" w:hAnsi="Times New Roman" w:cs="Times New Roman"/>
                <w:sz w:val="24"/>
                <w:szCs w:val="24"/>
              </w:rPr>
              <w:t xml:space="preserve">, </w:t>
            </w:r>
            <w:r>
              <w:rPr>
                <w:rFonts w:ascii="Times New Roman" w:hAnsi="Times New Roman" w:cs="Times New Roman"/>
                <w:sz w:val="24"/>
                <w:szCs w:val="24"/>
              </w:rPr>
              <w:t xml:space="preserve">demand</w:t>
            </w:r>
            <w:r>
              <w:rPr>
                <w:rFonts w:ascii="Times New Roman" w:hAnsi="Times New Roman" w:cs="Times New Roman"/>
                <w:sz w:val="24"/>
                <w:szCs w:val="24"/>
              </w:rPr>
              <w:t xml:space="preserve"> </w:t>
            </w:r>
            <w:r>
              <w:rPr>
                <w:rFonts w:ascii="Times New Roman" w:hAnsi="Times New Roman" w:cs="Times New Roman"/>
                <w:sz w:val="24"/>
                <w:szCs w:val="24"/>
              </w:rPr>
              <w:t xml:space="preserve">scrubbing</w:t>
            </w:r>
            <w:r>
              <w:rPr>
                <w:rFonts w:ascii="Times New Roman" w:hAnsi="Times New Roman" w:cs="Times New Roman"/>
                <w:sz w:val="24"/>
                <w:szCs w:val="24"/>
              </w:rPr>
              <w:t xml:space="preserve">; </w:t>
            </w:r>
            <w:r/>
          </w:p>
          <w:p>
            <w:pPr>
              <w:numPr>
                <w:ilvl w:val="0"/>
                <w:numId w:val="44"/>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встановлення пам’яті типу 3DS RDIMM.</w:t>
            </w:r>
            <w:r/>
          </w:p>
          <w:p>
            <w:pPr>
              <w:numPr>
                <w:ilvl w:val="0"/>
                <w:numId w:val="44"/>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Всі встановлені модулі пам'яті повинні бути від виробника серверного обладнання (рекомендовані виробником) та мати відповідне маркування, якщо таке існує у виробника.</w:t>
            </w:r>
            <w:r/>
          </w:p>
        </w:tc>
      </w:tr>
      <w:tr>
        <w:trPr/>
        <w:tc>
          <w:tcPr>
            <w:tcW w:w="709" w:type="dxa"/>
            <w:vAlign w:val="center"/>
            <w:textDirection w:val="lrTb"/>
            <w:noWrap w:val="false"/>
          </w:tcPr>
          <w:p>
            <w:pPr>
              <w:ind w:left="5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w:t>
            </w:r>
            <w:r/>
          </w:p>
        </w:tc>
        <w:tc>
          <w:tcPr>
            <w:tcW w:w="170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Мережевий інтерфейс:</w:t>
            </w:r>
            <w:r/>
          </w:p>
        </w:tc>
        <w:tc>
          <w:tcPr>
            <w:gridSpan w:val="3"/>
            <w:tcW w:w="7229" w:type="dxa"/>
            <w:vAlign w:val="center"/>
            <w:textDirection w:val="lrTb"/>
            <w:noWrap w:val="false"/>
          </w:tcPr>
          <w:p>
            <w:pPr>
              <w:numPr>
                <w:ilvl w:val="0"/>
                <w:numId w:val="44"/>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менше чотирьох (4) </w:t>
            </w:r>
            <w:r>
              <w:rPr>
                <w:rFonts w:ascii="Times New Roman" w:hAnsi="Times New Roman" w:cs="Times New Roman"/>
                <w:sz w:val="24"/>
                <w:szCs w:val="24"/>
              </w:rPr>
              <w:t xml:space="preserve">Ethernet</w:t>
            </w:r>
            <w:r>
              <w:rPr>
                <w:rFonts w:ascii="Times New Roman" w:hAnsi="Times New Roman" w:cs="Times New Roman"/>
                <w:sz w:val="24"/>
                <w:szCs w:val="24"/>
              </w:rPr>
              <w:t xml:space="preserve"> портів не гірше ніж 10/25Гб/с, SFP28;</w:t>
            </w:r>
            <w:r/>
          </w:p>
          <w:p>
            <w:pPr>
              <w:numPr>
                <w:ilvl w:val="0"/>
                <w:numId w:val="44"/>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Мережева карта не повинна займати стандартний PCI-e </w:t>
            </w:r>
            <w:r>
              <w:rPr>
                <w:rFonts w:ascii="Times New Roman" w:hAnsi="Times New Roman" w:cs="Times New Roman"/>
                <w:sz w:val="24"/>
                <w:szCs w:val="24"/>
              </w:rPr>
              <w:t xml:space="preserve">слот</w:t>
            </w:r>
            <w:r>
              <w:rPr>
                <w:rFonts w:ascii="Times New Roman" w:hAnsi="Times New Roman" w:cs="Times New Roman"/>
                <w:sz w:val="24"/>
                <w:szCs w:val="24"/>
              </w:rPr>
              <w:t xml:space="preserve">;</w:t>
            </w:r>
            <w:r/>
          </w:p>
          <w:p>
            <w:pPr>
              <w:numPr>
                <w:ilvl w:val="0"/>
                <w:numId w:val="44"/>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менше чотирьох (4) трансиверів 10G/25G SR SFP28 у комплекті.</w:t>
            </w:r>
            <w:r/>
          </w:p>
        </w:tc>
      </w:tr>
      <w:tr>
        <w:trPr/>
        <w:tc>
          <w:tcPr>
            <w:tcW w:w="709" w:type="dxa"/>
            <w:vAlign w:val="center"/>
            <w:textDirection w:val="lrTb"/>
            <w:noWrap w:val="false"/>
          </w:tcPr>
          <w:p>
            <w:pPr>
              <w:ind w:left="5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w:t>
            </w:r>
            <w:r/>
          </w:p>
        </w:tc>
        <w:tc>
          <w:tcPr>
            <w:tcW w:w="170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Дискова підсистема:</w:t>
            </w:r>
            <w:r/>
          </w:p>
        </w:tc>
        <w:tc>
          <w:tcPr>
            <w:gridSpan w:val="3"/>
            <w:tcW w:w="7229" w:type="dxa"/>
            <w:vAlign w:val="center"/>
            <w:textDirection w:val="lrTb"/>
            <w:noWrap w:val="false"/>
          </w:tcPr>
          <w:p>
            <w:pPr>
              <w:numPr>
                <w:ilvl w:val="0"/>
                <w:numId w:val="44"/>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Встановлено не менше шести (6) накопичувачів SSD обсягом не менше 3.84ТБ кожен стандарту SATA </w:t>
            </w:r>
            <w:r>
              <w:rPr>
                <w:rFonts w:ascii="Times New Roman" w:hAnsi="Times New Roman" w:cs="Times New Roman"/>
                <w:sz w:val="24"/>
                <w:szCs w:val="24"/>
              </w:rPr>
              <w:t xml:space="preserve">Mixed</w:t>
            </w:r>
            <w:r>
              <w:rPr>
                <w:rFonts w:ascii="Times New Roman" w:hAnsi="Times New Roman" w:cs="Times New Roman"/>
                <w:sz w:val="24"/>
                <w:szCs w:val="24"/>
              </w:rPr>
              <w:t xml:space="preserve"> </w:t>
            </w:r>
            <w:r>
              <w:rPr>
                <w:rFonts w:ascii="Times New Roman" w:hAnsi="Times New Roman" w:cs="Times New Roman"/>
                <w:sz w:val="24"/>
                <w:szCs w:val="24"/>
              </w:rPr>
              <w:t xml:space="preserve">Use</w:t>
            </w:r>
            <w:r>
              <w:rPr>
                <w:rFonts w:ascii="Times New Roman" w:hAnsi="Times New Roman" w:cs="Times New Roman"/>
                <w:sz w:val="24"/>
                <w:szCs w:val="24"/>
              </w:rPr>
              <w:t xml:space="preserve">;</w:t>
            </w:r>
            <w:r/>
          </w:p>
          <w:p>
            <w:pPr>
              <w:numPr>
                <w:ilvl w:val="0"/>
                <w:numId w:val="44"/>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контролеру SAS/SATA </w:t>
            </w:r>
            <w:r>
              <w:rPr>
                <w:rFonts w:ascii="Times New Roman" w:hAnsi="Times New Roman" w:cs="Times New Roman"/>
                <w:sz w:val="24"/>
                <w:szCs w:val="24"/>
              </w:rPr>
              <w:t xml:space="preserve">PCIe</w:t>
            </w:r>
            <w:r>
              <w:rPr>
                <w:rFonts w:ascii="Times New Roman" w:hAnsi="Times New Roman" w:cs="Times New Roman"/>
                <w:sz w:val="24"/>
                <w:szCs w:val="24"/>
              </w:rPr>
              <w:t xml:space="preserve"> Gen4 12Gb для підключення наявних дисків; </w:t>
            </w:r>
            <w:r/>
          </w:p>
          <w:p>
            <w:pPr>
              <w:numPr>
                <w:ilvl w:val="0"/>
                <w:numId w:val="44"/>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встановлення не менше 16 накопичувачів форм-фактору 2.5 дюймів </w:t>
            </w:r>
            <w:r>
              <w:rPr>
                <w:rFonts w:ascii="Times New Roman" w:hAnsi="Times New Roman" w:cs="Times New Roman"/>
                <w:sz w:val="24"/>
                <w:szCs w:val="24"/>
              </w:rPr>
              <w:t xml:space="preserve">hot-swap</w:t>
            </w:r>
            <w:r>
              <w:rPr>
                <w:rFonts w:ascii="Times New Roman" w:hAnsi="Times New Roman" w:cs="Times New Roman"/>
                <w:sz w:val="24"/>
                <w:szCs w:val="24"/>
              </w:rPr>
              <w:t xml:space="preserve">, з можливістю подальшого розширення щонайменше до 24 накопичувачів;</w:t>
            </w:r>
            <w:r/>
          </w:p>
          <w:p>
            <w:pPr>
              <w:numPr>
                <w:ilvl w:val="0"/>
                <w:numId w:val="44"/>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менш двох (2) M.2 дисків </w:t>
            </w:r>
            <w:r>
              <w:rPr>
                <w:rFonts w:ascii="Times New Roman" w:hAnsi="Times New Roman" w:cs="Times New Roman"/>
                <w:sz w:val="24"/>
                <w:szCs w:val="24"/>
              </w:rPr>
              <w:t xml:space="preserve">NVMe</w:t>
            </w:r>
            <w:r>
              <w:rPr>
                <w:rFonts w:ascii="Times New Roman" w:hAnsi="Times New Roman" w:cs="Times New Roman"/>
                <w:sz w:val="24"/>
                <w:szCs w:val="24"/>
              </w:rPr>
              <w:t xml:space="preserve"> </w:t>
            </w:r>
            <w:r>
              <w:rPr>
                <w:rFonts w:ascii="Times New Roman" w:hAnsi="Times New Roman" w:cs="Times New Roman"/>
                <w:sz w:val="24"/>
                <w:szCs w:val="24"/>
              </w:rPr>
              <w:t xml:space="preserve">PCIe</w:t>
            </w:r>
            <w:r>
              <w:rPr>
                <w:rFonts w:ascii="Times New Roman" w:hAnsi="Times New Roman" w:cs="Times New Roman"/>
                <w:sz w:val="24"/>
                <w:szCs w:val="24"/>
              </w:rPr>
              <w:t xml:space="preserve"> 4.0 x4 SSD ємністю не менше 960GB кожен;</w:t>
            </w:r>
            <w:r/>
          </w:p>
          <w:p>
            <w:pPr>
              <w:pStyle w:val="740"/>
              <w:numPr>
                <w:ilvl w:val="0"/>
                <w:numId w:val="44"/>
              </w:numPr>
              <w:ind w:left="437"/>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*з міркувань безпеки всі накопичувачі повинні поставлятися з послугою, яка дозволяє клієнту зберігати несправні диски та не повертати їх виробнику; </w:t>
            </w:r>
            <w:r/>
          </w:p>
        </w:tc>
      </w:tr>
      <w:tr>
        <w:trPr/>
        <w:tc>
          <w:tcPr>
            <w:tcW w:w="709" w:type="dxa"/>
            <w:vAlign w:val="center"/>
            <w:textDirection w:val="lrTb"/>
            <w:noWrap w:val="false"/>
          </w:tcPr>
          <w:p>
            <w:pPr>
              <w:ind w:left="5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w:t>
            </w:r>
            <w:r/>
          </w:p>
        </w:tc>
        <w:tc>
          <w:tcPr>
            <w:tcW w:w="1702" w:type="dxa"/>
            <w:vAlign w:val="center"/>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Підтримка </w:t>
            </w:r>
            <w:r>
              <w:rPr>
                <w:rFonts w:ascii="Times New Roman" w:hAnsi="Times New Roman" w:cs="Times New Roman"/>
                <w:sz w:val="24"/>
                <w:szCs w:val="24"/>
                <w:lang w:val="en-US"/>
              </w:rPr>
              <w:t xml:space="preserve">GPU</w:t>
            </w:r>
            <w:r/>
          </w:p>
        </w:tc>
        <w:tc>
          <w:tcPr>
            <w:gridSpan w:val="3"/>
            <w:tcW w:w="7229" w:type="dxa"/>
            <w:vAlign w:val="center"/>
            <w:textDirection w:val="lrTb"/>
            <w:noWrap w:val="false"/>
          </w:tcPr>
          <w:p>
            <w:pPr>
              <w:numPr>
                <w:ilvl w:val="0"/>
                <w:numId w:val="44"/>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встановлення не менше восьми (8) GPU карт</w:t>
            </w:r>
            <w:r/>
          </w:p>
        </w:tc>
      </w:tr>
      <w:tr>
        <w:trPr/>
        <w:tc>
          <w:tcPr>
            <w:tcW w:w="709" w:type="dxa"/>
            <w:vAlign w:val="center"/>
            <w:textDirection w:val="lrTb"/>
            <w:noWrap w:val="false"/>
          </w:tcPr>
          <w:p>
            <w:pPr>
              <w:ind w:left="57"/>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1.</w:t>
            </w:r>
            <w:r>
              <w:rPr>
                <w:rFonts w:ascii="Times New Roman" w:hAnsi="Times New Roman" w:cs="Times New Roman"/>
                <w:sz w:val="24"/>
                <w:szCs w:val="24"/>
                <w:lang w:val="en-US"/>
              </w:rPr>
              <w:t xml:space="preserve">7</w:t>
            </w:r>
            <w:r/>
          </w:p>
        </w:tc>
        <w:tc>
          <w:tcPr>
            <w:tcW w:w="170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Живлення:</w:t>
            </w:r>
            <w:r/>
          </w:p>
        </w:tc>
        <w:tc>
          <w:tcPr>
            <w:gridSpan w:val="3"/>
            <w:tcW w:w="7229" w:type="dxa"/>
            <w:vAlign w:val="center"/>
            <w:textDirection w:val="lrTb"/>
            <w:noWrap w:val="false"/>
          </w:tcPr>
          <w:p>
            <w:pPr>
              <w:pStyle w:val="740"/>
              <w:numPr>
                <w:ilvl w:val="0"/>
                <w:numId w:val="44"/>
              </w:numPr>
              <w:ind w:left="437"/>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Не менше двох блоків живлення з класом ефективності не гірше </w:t>
            </w:r>
            <w:r>
              <w:rPr>
                <w:rFonts w:ascii="Times New Roman" w:hAnsi="Times New Roman" w:cs="Times New Roman"/>
                <w:sz w:val="24"/>
                <w:szCs w:val="24"/>
                <w:lang w:val="uk-UA"/>
              </w:rPr>
              <w:t xml:space="preserve">Titanium</w:t>
            </w:r>
            <w:r>
              <w:rPr>
                <w:rFonts w:ascii="Times New Roman" w:hAnsi="Times New Roman" w:cs="Times New Roman"/>
                <w:sz w:val="24"/>
                <w:szCs w:val="24"/>
                <w:lang w:val="uk-UA"/>
              </w:rPr>
              <w:t xml:space="preserve">, та не менш 1800Вт потужності з підтримкою «гарячої» заміни, з усіма встановленими компонентами  та два кабелі  живлення довжиною не менше 2-х метрів С13-С14.</w:t>
            </w:r>
            <w:r/>
          </w:p>
        </w:tc>
      </w:tr>
      <w:tr>
        <w:trPr/>
        <w:tc>
          <w:tcPr>
            <w:tcW w:w="709" w:type="dxa"/>
            <w:vAlign w:val="center"/>
            <w:textDirection w:val="lrTb"/>
            <w:noWrap w:val="false"/>
          </w:tcPr>
          <w:p>
            <w:pPr>
              <w:ind w:left="5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w:t>
            </w:r>
            <w:r/>
          </w:p>
        </w:tc>
        <w:tc>
          <w:tcPr>
            <w:tcW w:w="170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Додаткове обладнання:</w:t>
            </w:r>
            <w:r/>
          </w:p>
        </w:tc>
        <w:tc>
          <w:tcPr>
            <w:gridSpan w:val="3"/>
            <w:tcW w:w="7229" w:type="dxa"/>
            <w:vAlign w:val="center"/>
            <w:textDirection w:val="lrTb"/>
            <w:noWrap w:val="false"/>
          </w:tcPr>
          <w:p>
            <w:pPr>
              <w:pStyle w:val="740"/>
              <w:numPr>
                <w:ilvl w:val="0"/>
                <w:numId w:val="44"/>
              </w:numPr>
              <w:ind w:left="437"/>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Наявність у комплекті телескопічних рейок для встановлення у серверну шафу.</w:t>
            </w:r>
            <w:r/>
          </w:p>
        </w:tc>
      </w:tr>
      <w:tr>
        <w:trPr/>
        <w:tc>
          <w:tcPr>
            <w:tcW w:w="709" w:type="dxa"/>
            <w:vAlign w:val="center"/>
            <w:textDirection w:val="lrTb"/>
            <w:noWrap w:val="false"/>
          </w:tcPr>
          <w:p>
            <w:pPr>
              <w:ind w:left="5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w:t>
            </w:r>
            <w:r/>
          </w:p>
        </w:tc>
        <w:tc>
          <w:tcPr>
            <w:tcW w:w="170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Функціональні вимоги:</w:t>
            </w:r>
            <w:r/>
          </w:p>
        </w:tc>
        <w:tc>
          <w:tcPr>
            <w:gridSpan w:val="3"/>
            <w:tcW w:w="7229" w:type="dxa"/>
            <w:vAlign w:val="center"/>
            <w:textDirection w:val="lrTb"/>
            <w:noWrap w:val="false"/>
          </w:tcPr>
          <w:p>
            <w:pPr>
              <w:pStyle w:val="740"/>
              <w:numPr>
                <w:ilvl w:val="0"/>
                <w:numId w:val="44"/>
              </w:numPr>
              <w:ind w:left="437"/>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Повинен мати систему прогнозування збоїв компонентів серверного вузла: процесори та/або пам'ять та/або жорсткі диски та/або SSD накопичувачі та/або блоки живлення та/або вентилятори та/або дискові контролери.</w:t>
            </w:r>
            <w:r/>
          </w:p>
          <w:p>
            <w:pPr>
              <w:pStyle w:val="740"/>
              <w:numPr>
                <w:ilvl w:val="0"/>
                <w:numId w:val="44"/>
              </w:numPr>
              <w:ind w:left="437"/>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Наявність системи віддаленого керування сервером, яка повинна поставлятися разом з сервером; бути незалежною від встановленої операційної систем.</w:t>
            </w:r>
            <w:r/>
          </w:p>
        </w:tc>
      </w:tr>
      <w:tr>
        <w:trPr/>
        <w:tc>
          <w:tcPr>
            <w:tcW w:w="709" w:type="dxa"/>
            <w:vAlign w:val="center"/>
            <w:textDirection w:val="lrTb"/>
            <w:noWrap w:val="false"/>
          </w:tcPr>
          <w:p>
            <w:pPr>
              <w:ind w:left="5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1.10</w:t>
            </w:r>
            <w:r/>
          </w:p>
        </w:tc>
        <w:tc>
          <w:tcPr>
            <w:tcMar>
              <w:left w:w="28" w:type="dxa"/>
              <w:right w:w="28" w:type="dxa"/>
            </w:tcMar>
            <w:tcW w:w="170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pacing w:val="-4"/>
                <w:sz w:val="24"/>
                <w:szCs w:val="24"/>
              </w:rPr>
              <w:t xml:space="preserve">Умови сервісного обслуговування</w:t>
            </w:r>
            <w:r>
              <w:rPr>
                <w:rFonts w:ascii="Times New Roman" w:hAnsi="Times New Roman" w:cs="Times New Roman"/>
                <w:sz w:val="24"/>
                <w:szCs w:val="24"/>
              </w:rPr>
              <w:t xml:space="preserve">:</w:t>
            </w:r>
            <w:r/>
          </w:p>
        </w:tc>
        <w:tc>
          <w:tcPr>
            <w:gridSpan w:val="3"/>
            <w:tcW w:w="7229" w:type="dxa"/>
            <w:vAlign w:val="center"/>
            <w:textDirection w:val="lrTb"/>
            <w:noWrap w:val="false"/>
          </w:tcPr>
          <w:p>
            <w:pPr>
              <w:pStyle w:val="740"/>
              <w:numPr>
                <w:ilvl w:val="0"/>
                <w:numId w:val="44"/>
              </w:numPr>
              <w:ind w:left="437"/>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Повинен мати єдину сервісну п</w:t>
            </w:r>
            <w:r>
              <w:rPr>
                <w:rFonts w:ascii="Times New Roman" w:hAnsi="Times New Roman" w:cs="Times New Roman"/>
                <w:sz w:val="24"/>
                <w:szCs w:val="24"/>
                <w:lang w:val="uk-UA"/>
              </w:rPr>
              <w:t xml:space="preserve">ідтримку від виробника обладнання на програмно-апаратний комплекс в цілому не менше трьох (3) років 24х7 з обслуговуванням на місці експлуатації комплексу, з часом реакції на сервісне звернення 4 години, та можливістю неповернення носіїв, що вийшли з ладу.</w:t>
            </w:r>
            <w:r/>
          </w:p>
          <w:p>
            <w:pPr>
              <w:pStyle w:val="740"/>
              <w:numPr>
                <w:ilvl w:val="0"/>
                <w:numId w:val="44"/>
              </w:numPr>
              <w:ind w:left="437"/>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Вбудоване програмне забезпечення має забезпечити наявність функціоналу постійної відправки діагностичної інформації про стан програмно-апаратного комплексу для </w:t>
            </w:r>
            <w:r>
              <w:rPr>
                <w:rFonts w:ascii="Times New Roman" w:hAnsi="Times New Roman" w:cs="Times New Roman"/>
                <w:sz w:val="24"/>
                <w:szCs w:val="24"/>
                <w:lang w:val="uk-UA"/>
              </w:rPr>
              <w:t xml:space="preserve">проактивної</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підтримки виробником. Жодні персональні, специфічні дані віртуальних машин, метадані не повинні передаватися.</w:t>
            </w:r>
            <w:r/>
          </w:p>
        </w:tc>
      </w:tr>
      <w:tr>
        <w:trPr/>
        <w:tc>
          <w:tcPr>
            <w:tcW w:w="709" w:type="dxa"/>
            <w:vAlign w:val="center"/>
            <w:textDirection w:val="lrTb"/>
            <w:noWrap w:val="false"/>
          </w:tcPr>
          <w:p>
            <w:pPr>
              <w:ind w:left="5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1.11</w:t>
            </w:r>
            <w:r/>
          </w:p>
        </w:tc>
        <w:tc>
          <w:tcPr>
            <w:tcW w:w="170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Розгортання рішення:</w:t>
            </w:r>
            <w:r/>
          </w:p>
        </w:tc>
        <w:tc>
          <w:tcPr>
            <w:gridSpan w:val="3"/>
            <w:tcW w:w="7229" w:type="dxa"/>
            <w:vAlign w:val="center"/>
            <w:textDirection w:val="lrTb"/>
            <w:noWrap w:val="false"/>
          </w:tcPr>
          <w:p>
            <w:pPr>
              <w:pStyle w:val="740"/>
              <w:numPr>
                <w:ilvl w:val="0"/>
                <w:numId w:val="44"/>
              </w:numPr>
              <w:ind w:left="437"/>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Виробником обладнання повинно бути реалізовано розгортання рішення програмно-апаратного комплексу, як апаратної частини так і програмного забезпечення із засобами управління на технічному майданчику Замовника. </w:t>
            </w:r>
            <w:r/>
          </w:p>
        </w:tc>
      </w:tr>
      <w:tr>
        <w:trPr/>
        <w:tc>
          <w:tcPr>
            <w:tcW w:w="709" w:type="dxa"/>
            <w:vAlign w:val="center"/>
            <w:textDirection w:val="lrTb"/>
            <w:noWrap w:val="false"/>
          </w:tcPr>
          <w:p>
            <w:pPr>
              <w:ind w:left="57"/>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1.12</w:t>
            </w:r>
            <w:r/>
          </w:p>
        </w:tc>
        <w:tc>
          <w:tcPr>
            <w:tcW w:w="1702" w:type="dxa"/>
            <w:vAlign w:val="center"/>
            <w:textDirection w:val="lrTb"/>
            <w:noWrap w:val="false"/>
          </w:tcPr>
          <w:p>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Встановлене ПЗ:</w:t>
            </w:r>
            <w:r/>
          </w:p>
        </w:tc>
        <w:tc>
          <w:tcPr>
            <w:gridSpan w:val="3"/>
            <w:tcW w:w="7229" w:type="dxa"/>
            <w:vAlign w:val="center"/>
            <w:textDirection w:val="lrTb"/>
            <w:noWrap w:val="false"/>
          </w:tcPr>
          <w:p>
            <w:pPr>
              <w:pStyle w:val="740"/>
              <w:numPr>
                <w:ilvl w:val="0"/>
                <w:numId w:val="44"/>
              </w:numPr>
              <w:ind w:left="437"/>
              <w:jc w:val="both"/>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 xml:space="preserve">ПЗ </w:t>
            </w:r>
            <w:r>
              <w:rPr>
                <w:rFonts w:ascii="Times New Roman" w:hAnsi="Times New Roman" w:cs="Times New Roman"/>
                <w:bCs/>
                <w:sz w:val="24"/>
                <w:szCs w:val="24"/>
                <w:lang w:val="uk-UA"/>
              </w:rPr>
              <w:t xml:space="preserve">Nutanix</w:t>
            </w:r>
            <w:r>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Cloud</w:t>
            </w:r>
            <w:r>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Infrastructure</w:t>
            </w:r>
            <w:r>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Pro</w:t>
            </w:r>
            <w:r>
              <w:rPr>
                <w:rFonts w:ascii="Times New Roman" w:hAnsi="Times New Roman" w:cs="Times New Roman"/>
                <w:bCs/>
                <w:sz w:val="24"/>
                <w:szCs w:val="24"/>
                <w:lang w:val="uk-UA"/>
              </w:rPr>
              <w:t xml:space="preserve"> – з відповідною кількістю процесорних ліцензій;</w:t>
            </w:r>
            <w:r/>
          </w:p>
          <w:p>
            <w:pPr>
              <w:pStyle w:val="740"/>
              <w:numPr>
                <w:ilvl w:val="0"/>
                <w:numId w:val="44"/>
              </w:numPr>
              <w:ind w:left="437"/>
              <w:jc w:val="both"/>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 xml:space="preserve">Термін підписки – три (3) роки </w:t>
            </w:r>
            <w:r>
              <w:rPr>
                <w:rFonts w:ascii="Times New Roman" w:hAnsi="Times New Roman" w:cs="Times New Roman"/>
                <w:bCs/>
                <w:sz w:val="24"/>
                <w:szCs w:val="24"/>
                <w:lang w:val="uk-UA"/>
              </w:rPr>
              <w:t xml:space="preserve">Production</w:t>
            </w:r>
            <w:r>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support</w:t>
            </w:r>
            <w:r>
              <w:rPr>
                <w:rFonts w:ascii="Times New Roman" w:hAnsi="Times New Roman" w:cs="Times New Roman"/>
                <w:bCs/>
                <w:sz w:val="24"/>
                <w:szCs w:val="24"/>
                <w:lang w:val="uk-UA"/>
              </w:rPr>
              <w:t xml:space="preserve">;</w:t>
            </w:r>
            <w:r/>
          </w:p>
        </w:tc>
      </w:tr>
      <w:tr>
        <w:trPr/>
        <w:tc>
          <w:tcPr>
            <w:tcW w:w="709" w:type="dxa"/>
            <w:vAlign w:val="center"/>
            <w:textDirection w:val="lrTb"/>
            <w:noWrap w:val="false"/>
          </w:tcPr>
          <w:p>
            <w:pPr>
              <w:ind w:left="57"/>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2.1</w:t>
            </w:r>
            <w:r/>
          </w:p>
        </w:tc>
        <w:tc>
          <w:tcPr>
            <w:tcW w:w="1702" w:type="dxa"/>
            <w:vAlign w:val="center"/>
            <w:textDirection w:val="lrTb"/>
            <w:noWrap w:val="false"/>
          </w:tcPr>
          <w:p>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Функціональні вимоги програмного забезпечення віртуалізації (програмне забезпечення HCI)</w:t>
            </w:r>
            <w:r/>
          </w:p>
        </w:tc>
        <w:tc>
          <w:tcPr>
            <w:gridSpan w:val="3"/>
            <w:tcW w:w="7229" w:type="dxa"/>
            <w:vAlign w:val="center"/>
            <w:textDirection w:val="lrTb"/>
            <w:noWrap w:val="false"/>
          </w:tcPr>
          <w:p>
            <w:pPr>
              <w:numPr>
                <w:ilvl w:val="0"/>
                <w:numId w:val="45"/>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Запропонована </w:t>
            </w:r>
            <w:r>
              <w:rPr>
                <w:rFonts w:ascii="Times New Roman" w:hAnsi="Times New Roman" w:cs="Times New Roman"/>
                <w:sz w:val="24"/>
                <w:szCs w:val="24"/>
              </w:rPr>
              <w:t xml:space="preserve">гіперконвергентна</w:t>
            </w:r>
            <w:r>
              <w:rPr>
                <w:rFonts w:ascii="Times New Roman" w:hAnsi="Times New Roman" w:cs="Times New Roman"/>
                <w:sz w:val="24"/>
                <w:szCs w:val="24"/>
              </w:rPr>
              <w:t xml:space="preserve"> інфраструктура (HCI) має бути масштабованою, додаючи більше серверів (серверів x86) до стеку (кластеру), а також додаючи диски до вибраних серверів.</w:t>
            </w:r>
            <w:r/>
          </w:p>
          <w:p>
            <w:pPr>
              <w:numPr>
                <w:ilvl w:val="0"/>
                <w:numId w:val="45"/>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Запропонована </w:t>
            </w:r>
            <w:r>
              <w:rPr>
                <w:rFonts w:ascii="Times New Roman" w:hAnsi="Times New Roman" w:cs="Times New Roman"/>
                <w:sz w:val="24"/>
                <w:szCs w:val="24"/>
              </w:rPr>
              <w:t xml:space="preserve">гіперконвергентна</w:t>
            </w:r>
            <w:r>
              <w:rPr>
                <w:rFonts w:ascii="Times New Roman" w:hAnsi="Times New Roman" w:cs="Times New Roman"/>
                <w:sz w:val="24"/>
                <w:szCs w:val="24"/>
              </w:rPr>
              <w:t xml:space="preserve"> інфраструктура (HCI) має механізм високої доступності в межах одного кластера, що захищає від збою будь-який окремий елемент кластера (сервер, жорсткий диск або SSD).</w:t>
            </w:r>
            <w:r/>
          </w:p>
          <w:p>
            <w:pPr>
              <w:numPr>
                <w:ilvl w:val="0"/>
                <w:numId w:val="45"/>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Запропонована </w:t>
            </w:r>
            <w:r>
              <w:rPr>
                <w:rFonts w:ascii="Times New Roman" w:hAnsi="Times New Roman" w:cs="Times New Roman"/>
                <w:sz w:val="24"/>
                <w:szCs w:val="24"/>
              </w:rPr>
              <w:t xml:space="preserve">гіперконвергентна</w:t>
            </w:r>
            <w:r>
              <w:rPr>
                <w:rFonts w:ascii="Times New Roman" w:hAnsi="Times New Roman" w:cs="Times New Roman"/>
                <w:sz w:val="24"/>
                <w:szCs w:val="24"/>
              </w:rPr>
              <w:t xml:space="preserve"> інфраструктура (HCI) повинна мати інтелектуальний механізм балансування навантаження, який гарантує, що нова віртуальна машина розташована на найменш завантаженому сервері.</w:t>
            </w:r>
            <w:r/>
          </w:p>
          <w:p>
            <w:pPr>
              <w:numPr>
                <w:ilvl w:val="0"/>
                <w:numId w:val="45"/>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Запропонована </w:t>
            </w:r>
            <w:r>
              <w:rPr>
                <w:rFonts w:ascii="Times New Roman" w:hAnsi="Times New Roman" w:cs="Times New Roman"/>
                <w:sz w:val="24"/>
                <w:szCs w:val="24"/>
              </w:rPr>
              <w:t xml:space="preserve">гіперконвергентна</w:t>
            </w:r>
            <w:r>
              <w:rPr>
                <w:rFonts w:ascii="Times New Roman" w:hAnsi="Times New Roman" w:cs="Times New Roman"/>
                <w:sz w:val="24"/>
                <w:szCs w:val="24"/>
              </w:rPr>
              <w:t xml:space="preserve"> інфраструктура (HCI) має бути гнучкою, щоб підтримувати гетерогенний кластер, що означає, що в одному кластері має бути можливість змішувати сервери з різною кількістю дисків, різними розмірами дисків і різними типами ЦП.</w:t>
            </w:r>
            <w:r/>
          </w:p>
          <w:p>
            <w:pPr>
              <w:numPr>
                <w:ilvl w:val="0"/>
                <w:numId w:val="45"/>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Максимальна кількість підтримуваних серверів в одному кластері має становити не менше 32 серверів.</w:t>
            </w:r>
            <w:r/>
          </w:p>
          <w:p>
            <w:pPr>
              <w:numPr>
                <w:ilvl w:val="0"/>
                <w:numId w:val="45"/>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Запропонована </w:t>
            </w:r>
            <w:r>
              <w:rPr>
                <w:rFonts w:ascii="Times New Roman" w:hAnsi="Times New Roman" w:cs="Times New Roman"/>
                <w:sz w:val="24"/>
                <w:szCs w:val="24"/>
              </w:rPr>
              <w:t xml:space="preserve">гіперконвергентна</w:t>
            </w:r>
            <w:r>
              <w:rPr>
                <w:rFonts w:ascii="Times New Roman" w:hAnsi="Times New Roman" w:cs="Times New Roman"/>
                <w:sz w:val="24"/>
                <w:szCs w:val="24"/>
              </w:rPr>
              <w:t xml:space="preserve"> інфраструктура (HCI) має базуватися на серверах x86-64.</w:t>
            </w:r>
            <w:r/>
          </w:p>
          <w:p>
            <w:pPr>
              <w:numPr>
                <w:ilvl w:val="0"/>
                <w:numId w:val="45"/>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Архітектура мережі має бути відкритою, надаючи замовнику свободу вибору та захищаючи інвестиції. Сторона-замовник не приймає жодних обмежень, обмежуючи свій вибір лише конкретною моделлю комутатора чи постачальником.</w:t>
            </w:r>
            <w:r/>
          </w:p>
          <w:p>
            <w:pPr>
              <w:numPr>
                <w:ilvl w:val="0"/>
                <w:numId w:val="45"/>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Запропоноване </w:t>
            </w:r>
            <w:r>
              <w:rPr>
                <w:rFonts w:ascii="Times New Roman" w:hAnsi="Times New Roman" w:cs="Times New Roman"/>
                <w:sz w:val="24"/>
                <w:szCs w:val="24"/>
              </w:rPr>
              <w:t xml:space="preserve">гіперконвергентне</w:t>
            </w:r>
            <w:r>
              <w:rPr>
                <w:rFonts w:ascii="Times New Roman" w:hAnsi="Times New Roman" w:cs="Times New Roman"/>
                <w:sz w:val="24"/>
                <w:szCs w:val="24"/>
              </w:rPr>
              <w:t xml:space="preserve"> рішення (HCI) повинно мати можливість підтримувати </w:t>
            </w:r>
            <w:r>
              <w:rPr>
                <w:rFonts w:ascii="Times New Roman" w:hAnsi="Times New Roman" w:cs="Times New Roman"/>
                <w:sz w:val="24"/>
                <w:szCs w:val="24"/>
              </w:rPr>
              <w:t xml:space="preserve">мікросегментацію</w:t>
            </w:r>
            <w:r>
              <w:rPr>
                <w:rFonts w:ascii="Times New Roman" w:hAnsi="Times New Roman" w:cs="Times New Roman"/>
                <w:sz w:val="24"/>
                <w:szCs w:val="24"/>
              </w:rPr>
              <w:t xml:space="preserve"> мережі з метою безпеки.</w:t>
            </w:r>
            <w:r/>
          </w:p>
          <w:p>
            <w:pPr>
              <w:numPr>
                <w:ilvl w:val="0"/>
                <w:numId w:val="45"/>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Запропонована </w:t>
            </w:r>
            <w:r>
              <w:rPr>
                <w:rFonts w:ascii="Times New Roman" w:hAnsi="Times New Roman" w:cs="Times New Roman"/>
                <w:sz w:val="24"/>
                <w:szCs w:val="24"/>
              </w:rPr>
              <w:t xml:space="preserve">гіперконвергентна</w:t>
            </w:r>
            <w:r>
              <w:rPr>
                <w:rFonts w:ascii="Times New Roman" w:hAnsi="Times New Roman" w:cs="Times New Roman"/>
                <w:sz w:val="24"/>
                <w:szCs w:val="24"/>
              </w:rPr>
              <w:t xml:space="preserve"> інфраструктура (HCI) має підтримувати стиснення/</w:t>
            </w:r>
            <w:r>
              <w:rPr>
                <w:rFonts w:ascii="Times New Roman" w:hAnsi="Times New Roman" w:cs="Times New Roman"/>
                <w:sz w:val="24"/>
                <w:szCs w:val="24"/>
              </w:rPr>
              <w:t xml:space="preserve">дедуплікацію</w:t>
            </w:r>
            <w:r>
              <w:rPr>
                <w:rFonts w:ascii="Times New Roman" w:hAnsi="Times New Roman" w:cs="Times New Roman"/>
                <w:sz w:val="24"/>
                <w:szCs w:val="24"/>
              </w:rPr>
              <w:t xml:space="preserve">, кодування стиснення (</w:t>
            </w:r>
            <w:r>
              <w:rPr>
                <w:rFonts w:ascii="Times New Roman" w:hAnsi="Times New Roman" w:cs="Times New Roman"/>
                <w:sz w:val="24"/>
                <w:szCs w:val="24"/>
              </w:rPr>
              <w:t xml:space="preserve">Erasure</w:t>
            </w:r>
            <w:r>
              <w:rPr>
                <w:rFonts w:ascii="Times New Roman" w:hAnsi="Times New Roman" w:cs="Times New Roman"/>
                <w:sz w:val="24"/>
                <w:szCs w:val="24"/>
              </w:rPr>
              <w:t xml:space="preserve"> </w:t>
            </w:r>
            <w:r>
              <w:rPr>
                <w:rFonts w:ascii="Times New Roman" w:hAnsi="Times New Roman" w:cs="Times New Roman"/>
                <w:sz w:val="24"/>
                <w:szCs w:val="24"/>
              </w:rPr>
              <w:t xml:space="preserve">Coding</w:t>
            </w:r>
            <w:r>
              <w:rPr>
                <w:rFonts w:ascii="Times New Roman" w:hAnsi="Times New Roman" w:cs="Times New Roman"/>
                <w:sz w:val="24"/>
                <w:szCs w:val="24"/>
              </w:rPr>
              <w:t xml:space="preserve">-X) як в режимі онлайн, так і в режимі </w:t>
            </w:r>
            <w:r>
              <w:rPr>
                <w:rFonts w:ascii="Times New Roman" w:hAnsi="Times New Roman" w:cs="Times New Roman"/>
                <w:sz w:val="24"/>
                <w:szCs w:val="24"/>
              </w:rPr>
              <w:t xml:space="preserve">постпроцесу</w:t>
            </w:r>
            <w:r>
              <w:rPr>
                <w:rFonts w:ascii="Times New Roman" w:hAnsi="Times New Roman" w:cs="Times New Roman"/>
                <w:sz w:val="24"/>
                <w:szCs w:val="24"/>
              </w:rPr>
              <w:t xml:space="preserve">.</w:t>
            </w:r>
            <w:r/>
          </w:p>
          <w:p>
            <w:pPr>
              <w:numPr>
                <w:ilvl w:val="0"/>
                <w:numId w:val="45"/>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Запропонована </w:t>
            </w:r>
            <w:r>
              <w:rPr>
                <w:rFonts w:ascii="Times New Roman" w:hAnsi="Times New Roman" w:cs="Times New Roman"/>
                <w:sz w:val="24"/>
                <w:szCs w:val="24"/>
              </w:rPr>
              <w:t xml:space="preserve">гіперконвергентна</w:t>
            </w:r>
            <w:r>
              <w:rPr>
                <w:rFonts w:ascii="Times New Roman" w:hAnsi="Times New Roman" w:cs="Times New Roman"/>
                <w:sz w:val="24"/>
                <w:szCs w:val="24"/>
              </w:rPr>
              <w:t xml:space="preserve"> інфраструктура (HCI) має підтримувати високу доступність відповідно до </w:t>
            </w:r>
            <w:r>
              <w:rPr>
                <w:rFonts w:ascii="Times New Roman" w:hAnsi="Times New Roman" w:cs="Times New Roman"/>
                <w:sz w:val="24"/>
                <w:szCs w:val="24"/>
              </w:rPr>
              <w:t xml:space="preserve">фактора</w:t>
            </w:r>
            <w:r>
              <w:rPr>
                <w:rFonts w:ascii="Times New Roman" w:hAnsi="Times New Roman" w:cs="Times New Roman"/>
                <w:sz w:val="24"/>
                <w:szCs w:val="24"/>
              </w:rPr>
              <w:t xml:space="preserve"> надлишковості 2 (RF-2) – одна повна копія даних має бути завжди присутня.</w:t>
            </w:r>
            <w:r/>
          </w:p>
          <w:p>
            <w:pPr>
              <w:numPr>
                <w:ilvl w:val="0"/>
                <w:numId w:val="45"/>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Збій будь-якого окремого сервера, жорсткого диска чи диска SSD у кластері не може спричинити втрату будь-яких збережених даних.</w:t>
            </w:r>
            <w:r/>
          </w:p>
          <w:p>
            <w:pPr>
              <w:numPr>
                <w:ilvl w:val="0"/>
                <w:numId w:val="45"/>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Запропонована </w:t>
            </w:r>
            <w:r>
              <w:rPr>
                <w:rFonts w:ascii="Times New Roman" w:hAnsi="Times New Roman" w:cs="Times New Roman"/>
                <w:sz w:val="24"/>
                <w:szCs w:val="24"/>
              </w:rPr>
              <w:t xml:space="preserve">гіперконвергентна</w:t>
            </w:r>
            <w:r>
              <w:rPr>
                <w:rFonts w:ascii="Times New Roman" w:hAnsi="Times New Roman" w:cs="Times New Roman"/>
                <w:sz w:val="24"/>
                <w:szCs w:val="24"/>
              </w:rPr>
              <w:t xml:space="preserve"> інфраструктура (HCI) повинна підтримувати керування та автоматизацію для всіх послуг.</w:t>
            </w:r>
            <w:r/>
          </w:p>
          <w:p>
            <w:pPr>
              <w:numPr>
                <w:ilvl w:val="0"/>
                <w:numId w:val="45"/>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Запропонована </w:t>
            </w:r>
            <w:r>
              <w:rPr>
                <w:rFonts w:ascii="Times New Roman" w:hAnsi="Times New Roman" w:cs="Times New Roman"/>
                <w:sz w:val="24"/>
                <w:szCs w:val="24"/>
              </w:rPr>
              <w:t xml:space="preserve">гіперконвергентна</w:t>
            </w:r>
            <w:r>
              <w:rPr>
                <w:rFonts w:ascii="Times New Roman" w:hAnsi="Times New Roman" w:cs="Times New Roman"/>
                <w:sz w:val="24"/>
                <w:szCs w:val="24"/>
              </w:rPr>
              <w:t xml:space="preserve"> інфраструктура (HCI) повинна підтримувати механізм самовідновлення, тобто в разі </w:t>
            </w:r>
            <w:r>
              <w:rPr>
                <w:rFonts w:ascii="Times New Roman" w:hAnsi="Times New Roman" w:cs="Times New Roman"/>
                <w:sz w:val="24"/>
                <w:szCs w:val="24"/>
              </w:rPr>
              <w:t xml:space="preserve">збою диска або сервера вона повинна негайно розпочати процедуру відновлення втраченої копії даних.</w:t>
            </w:r>
            <w:r/>
          </w:p>
          <w:p>
            <w:pPr>
              <w:numPr>
                <w:ilvl w:val="0"/>
                <w:numId w:val="45"/>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Запропонована </w:t>
            </w:r>
            <w:r>
              <w:rPr>
                <w:rFonts w:ascii="Times New Roman" w:hAnsi="Times New Roman" w:cs="Times New Roman"/>
                <w:sz w:val="24"/>
                <w:szCs w:val="24"/>
              </w:rPr>
              <w:t xml:space="preserve">гіперконвергентна</w:t>
            </w:r>
            <w:r>
              <w:rPr>
                <w:rFonts w:ascii="Times New Roman" w:hAnsi="Times New Roman" w:cs="Times New Roman"/>
                <w:sz w:val="24"/>
                <w:szCs w:val="24"/>
              </w:rPr>
              <w:t xml:space="preserve"> інфраструктура (HCI) має підтримувати розподілену файлову систему, розподіляючи дані між усіма серверами, але вона має представляти себе як єдине сховище даних для віртуальних машин.</w:t>
            </w:r>
            <w:r/>
          </w:p>
          <w:p>
            <w:pPr>
              <w:numPr>
                <w:ilvl w:val="0"/>
                <w:numId w:val="45"/>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Запропонована </w:t>
            </w:r>
            <w:r>
              <w:rPr>
                <w:rFonts w:ascii="Times New Roman" w:hAnsi="Times New Roman" w:cs="Times New Roman"/>
                <w:sz w:val="24"/>
                <w:szCs w:val="24"/>
              </w:rPr>
              <w:t xml:space="preserve">гіперконвергентна</w:t>
            </w:r>
            <w:r>
              <w:rPr>
                <w:rFonts w:ascii="Times New Roman" w:hAnsi="Times New Roman" w:cs="Times New Roman"/>
                <w:sz w:val="24"/>
                <w:szCs w:val="24"/>
              </w:rPr>
              <w:t xml:space="preserve"> інфраструктура (HCI) має підтримувати управління якістю послуг збереження даних для кожної віртуальної машини (VM </w:t>
            </w:r>
            <w:r>
              <w:rPr>
                <w:rFonts w:ascii="Times New Roman" w:hAnsi="Times New Roman" w:cs="Times New Roman"/>
                <w:sz w:val="24"/>
                <w:szCs w:val="24"/>
              </w:rPr>
              <w:t xml:space="preserve">Centric</w:t>
            </w:r>
            <w:r>
              <w:rPr>
                <w:rFonts w:ascii="Times New Roman" w:hAnsi="Times New Roman" w:cs="Times New Roman"/>
                <w:sz w:val="24"/>
                <w:szCs w:val="24"/>
              </w:rPr>
              <w:t xml:space="preserve"> </w:t>
            </w:r>
            <w:r>
              <w:rPr>
                <w:rFonts w:ascii="Times New Roman" w:hAnsi="Times New Roman" w:cs="Times New Roman"/>
                <w:sz w:val="24"/>
                <w:szCs w:val="24"/>
              </w:rPr>
              <w:t xml:space="preserve">Storage</w:t>
            </w:r>
            <w:r>
              <w:rPr>
                <w:rFonts w:ascii="Times New Roman" w:hAnsi="Times New Roman" w:cs="Times New Roman"/>
                <w:sz w:val="24"/>
                <w:szCs w:val="24"/>
              </w:rPr>
              <w:t xml:space="preserve"> </w:t>
            </w:r>
            <w:r>
              <w:rPr>
                <w:rFonts w:ascii="Times New Roman" w:hAnsi="Times New Roman" w:cs="Times New Roman"/>
                <w:sz w:val="24"/>
                <w:szCs w:val="24"/>
              </w:rPr>
              <w:t xml:space="preserve">QoS</w:t>
            </w:r>
            <w:r>
              <w:rPr>
                <w:rFonts w:ascii="Times New Roman" w:hAnsi="Times New Roman" w:cs="Times New Roman"/>
                <w:sz w:val="24"/>
                <w:szCs w:val="24"/>
              </w:rPr>
              <w:t xml:space="preserve">).</w:t>
            </w:r>
            <w:r/>
          </w:p>
          <w:p>
            <w:pPr>
              <w:numPr>
                <w:ilvl w:val="0"/>
                <w:numId w:val="45"/>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Запропонована </w:t>
            </w:r>
            <w:r>
              <w:rPr>
                <w:rFonts w:ascii="Times New Roman" w:hAnsi="Times New Roman" w:cs="Times New Roman"/>
                <w:sz w:val="24"/>
                <w:szCs w:val="24"/>
              </w:rPr>
              <w:t xml:space="preserve">гіперконвергентна</w:t>
            </w:r>
            <w:r>
              <w:rPr>
                <w:rFonts w:ascii="Times New Roman" w:hAnsi="Times New Roman" w:cs="Times New Roman"/>
                <w:sz w:val="24"/>
                <w:szCs w:val="24"/>
              </w:rPr>
              <w:t xml:space="preserve"> інфраструктура (HCI) повинна підтримувати узгоджені знімки додатків (</w:t>
            </w:r>
            <w:r>
              <w:rPr>
                <w:rFonts w:ascii="Times New Roman" w:hAnsi="Times New Roman" w:cs="Times New Roman"/>
                <w:sz w:val="24"/>
                <w:szCs w:val="24"/>
              </w:rPr>
              <w:t xml:space="preserve">Application</w:t>
            </w:r>
            <w:r>
              <w:rPr>
                <w:rFonts w:ascii="Times New Roman" w:hAnsi="Times New Roman" w:cs="Times New Roman"/>
                <w:sz w:val="24"/>
                <w:szCs w:val="24"/>
              </w:rPr>
              <w:t xml:space="preserve"> </w:t>
            </w:r>
            <w:r>
              <w:rPr>
                <w:rFonts w:ascii="Times New Roman" w:hAnsi="Times New Roman" w:cs="Times New Roman"/>
                <w:sz w:val="24"/>
                <w:szCs w:val="24"/>
              </w:rPr>
              <w:t xml:space="preserve">Consistent</w:t>
            </w:r>
            <w:r>
              <w:rPr>
                <w:rFonts w:ascii="Times New Roman" w:hAnsi="Times New Roman" w:cs="Times New Roman"/>
                <w:sz w:val="24"/>
                <w:szCs w:val="24"/>
              </w:rPr>
              <w:t xml:space="preserve"> </w:t>
            </w:r>
            <w:r>
              <w:rPr>
                <w:rFonts w:ascii="Times New Roman" w:hAnsi="Times New Roman" w:cs="Times New Roman"/>
                <w:sz w:val="24"/>
                <w:szCs w:val="24"/>
              </w:rPr>
              <w:t xml:space="preserve">Snapshots</w:t>
            </w:r>
            <w:r>
              <w:rPr>
                <w:rFonts w:ascii="Times New Roman" w:hAnsi="Times New Roman" w:cs="Times New Roman"/>
                <w:sz w:val="24"/>
                <w:szCs w:val="24"/>
              </w:rPr>
              <w:t xml:space="preserve">).</w:t>
            </w:r>
            <w:r/>
          </w:p>
        </w:tc>
      </w:tr>
    </w:tbl>
    <w:p>
      <w:pPr>
        <w:ind w:left="-142"/>
        <w:jc w:val="both"/>
        <w:spacing w:after="0" w:line="240" w:lineRule="auto"/>
        <w:rPr>
          <w:rFonts w:ascii="Times New Roman" w:hAnsi="Times New Roman" w:cs="Times New Roman"/>
          <w:color w:val="000000"/>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rPr>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ind w:left="-142"/>
        <w:jc w:val="both"/>
        <w:spacing w:after="0" w:line="240" w:lineRule="auto"/>
        <w:rPr>
          <w:rFonts w:ascii="Times New Roman" w:hAnsi="Times New Roman" w:cs="Times New Roman"/>
          <w:color w:val="000000"/>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rPr>
      </w:r>
      <w:r/>
    </w:p>
    <w:p>
      <w:pPr>
        <w:ind w:firstLine="567"/>
        <w:jc w:val="both"/>
        <w:spacing w:after="0" w:line="240"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Все обладнання комплексу повинно бути новим та таким, що не було у використанні та не було відновленим. Обладнання комплексу повинно ввозитися на територію України через офіційні канали поставки, та з відповідним гарантійним сервісом виробника.</w:t>
      </w:r>
      <w:r>
        <w:rPr>
          <w:rFonts w:ascii="Times New Roman" w:hAnsi="Times New Roman" w:cs="Times New Roman"/>
          <w:color w:val="000000"/>
          <w:sz w:val="24"/>
          <w:szCs w:val="24"/>
        </w:rPr>
        <w:tab/>
      </w:r>
      <w:r/>
    </w:p>
    <w:p>
      <w:pPr>
        <w:ind w:left="-142"/>
        <w:jc w:val="both"/>
        <w:spacing w:after="0" w:line="240" w:lineRule="auto"/>
        <w:rPr>
          <w:rFonts w:ascii="Times New Roman" w:hAnsi="Times New Roman" w:cs="Times New Roman"/>
          <w:color w:val="000000"/>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rPr>
      </w:r>
      <w:r/>
    </w:p>
    <w:p>
      <w:pPr>
        <w:ind w:left="-142"/>
        <w:jc w:val="both"/>
        <w:spacing w:after="0" w:line="240" w:lineRule="auto"/>
        <w:rPr>
          <w:rFonts w:ascii="Times New Roman" w:hAnsi="Times New Roman" w:cs="Times New Roman"/>
          <w:color w:val="000000"/>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rPr>
      </w:r>
      <w:r/>
    </w:p>
    <w:p>
      <w:pPr>
        <w:pStyle w:val="779"/>
        <w:ind w:left="360" w:right="0"/>
        <w:jc w:val="both"/>
        <w:shd w:val="clear" w:color="auto" w:fill="auto"/>
        <w:widowControl w:val="off"/>
        <w:tabs>
          <w:tab w:val="left" w:pos="1276" w:leader="none"/>
          <w:tab w:val="left" w:pos="1418" w:leader="none"/>
        </w:tabs>
        <w:rPr>
          <w:sz w:val="24"/>
          <w:szCs w:val="24"/>
        </w:rPr>
      </w:pPr>
      <w:r>
        <w:rPr>
          <w:sz w:val="24"/>
          <w:szCs w:val="24"/>
        </w:rPr>
        <w:t xml:space="preserve">Вимоги до постачальника</w:t>
      </w:r>
      <w:r/>
    </w:p>
    <w:p>
      <w:pPr>
        <w:ind w:firstLine="709"/>
        <w:jc w:val="both"/>
        <w:spacing w:after="0" w:line="240" w:lineRule="auto"/>
        <w:shd w:val="clear" w:color="auto" w:fill="ffffff"/>
        <w:tabs>
          <w:tab w:val="left" w:pos="2621" w:leader="none"/>
        </w:tabs>
        <w:rPr>
          <w:rFonts w:ascii="Times New Roman" w:hAnsi="Times New Roman" w:cs="Times New Roman"/>
          <w:color w:val="000000"/>
          <w:sz w:val="24"/>
          <w:szCs w:val="24"/>
          <w:u w:val="single"/>
        </w:rPr>
      </w:pPr>
      <w:r>
        <w:rPr>
          <w:rFonts w:ascii="Times New Roman" w:hAnsi="Times New Roman" w:eastAsia="Arial Unicode MS" w:cs="Times New Roman"/>
          <w:color w:val="000000"/>
          <w:sz w:val="24"/>
          <w:szCs w:val="24"/>
        </w:rPr>
        <w:t xml:space="preserve">На підтвердження відповідності тендерної </w:t>
      </w:r>
      <w:r>
        <w:rPr>
          <w:rFonts w:ascii="Times New Roman" w:hAnsi="Times New Roman" w:cs="Times New Roman"/>
          <w:color w:val="000000"/>
          <w:sz w:val="24"/>
          <w:szCs w:val="24"/>
        </w:rPr>
        <w:t xml:space="preserve">пропозиції технічним, якісним, кількісним вимогам до предмета закупівлі, у</w:t>
      </w:r>
      <w:r>
        <w:rPr>
          <w:rFonts w:ascii="Times New Roman" w:hAnsi="Times New Roman" w:eastAsia="Arial Unicode MS" w:cs="Times New Roman"/>
          <w:color w:val="000000"/>
          <w:sz w:val="24"/>
          <w:szCs w:val="24"/>
        </w:rPr>
        <w:t xml:space="preserve">часником у складі тендерної </w:t>
      </w:r>
      <w:r>
        <w:rPr>
          <w:rFonts w:ascii="Times New Roman" w:hAnsi="Times New Roman" w:cs="Times New Roman"/>
          <w:color w:val="000000"/>
          <w:sz w:val="24"/>
          <w:szCs w:val="24"/>
        </w:rPr>
        <w:t xml:space="preserve">пропозиції </w:t>
      </w:r>
      <w:r>
        <w:rPr>
          <w:rFonts w:ascii="Times New Roman" w:hAnsi="Times New Roman" w:eastAsia="Arial Unicode MS" w:cs="Times New Roman"/>
          <w:color w:val="000000"/>
          <w:sz w:val="24"/>
          <w:szCs w:val="24"/>
        </w:rPr>
        <w:t xml:space="preserve">надається:</w:t>
      </w:r>
      <w:r/>
    </w:p>
    <w:p>
      <w:pPr>
        <w:ind w:right="10" w:firstLine="426"/>
        <w:jc w:val="both"/>
        <w:spacing w:after="0" w:line="240" w:lineRule="auto"/>
        <w:shd w:val="clear" w:color="auto" w:fill="ffffff"/>
        <w:rPr>
          <w:rFonts w:ascii="Times New Roman" w:hAnsi="Times New Roman" w:cs="Times New Roman"/>
          <w:bCs/>
          <w:sz w:val="24"/>
          <w:szCs w:val="24"/>
        </w:rPr>
      </w:pPr>
      <w:r>
        <w:rPr>
          <w:rFonts w:ascii="Times New Roman" w:hAnsi="Times New Roman" w:cs="Times New Roman"/>
          <w:bCs/>
          <w:sz w:val="24"/>
          <w:szCs w:val="24"/>
        </w:rPr>
        <w:t xml:space="preserve">Заповнена таблиця відповідності запропонованого Учасником Товару технічним та функціональним вимогам Замовника. Учасник п</w:t>
      </w:r>
      <w:r>
        <w:rPr>
          <w:rFonts w:ascii="Times New Roman" w:hAnsi="Times New Roman" w:cs="Times New Roman"/>
          <w:bCs/>
          <w:sz w:val="24"/>
          <w:szCs w:val="24"/>
        </w:rPr>
        <w:t xml:space="preserve">овинен вказати назву продукту, що пропонується до постачання та артикули виробника, для можливості перевірки Замовником відповідності продукту, що пропонується до постачання вимогам Тендерної документації (з вказанням посилань на офіційний сайт виробника).</w:t>
      </w:r>
      <w:r/>
    </w:p>
    <w:p>
      <w:pPr>
        <w:ind w:right="10" w:firstLine="426"/>
        <w:jc w:val="both"/>
        <w:spacing w:after="0" w:line="240" w:lineRule="auto"/>
        <w:shd w:val="clear" w:color="auto" w:fill="ffffff"/>
        <w:rPr>
          <w:rFonts w:ascii="Times New Roman" w:hAnsi="Times New Roman" w:eastAsia="Arial Unicode MS" w:cs="Times New Roman"/>
          <w:sz w:val="24"/>
          <w:szCs w:val="24"/>
        </w:rPr>
      </w:pPr>
      <w:r>
        <w:rPr>
          <w:rFonts w:ascii="Times New Roman" w:hAnsi="Times New Roman" w:cs="Times New Roman"/>
          <w:bCs/>
          <w:sz w:val="24"/>
          <w:szCs w:val="24"/>
        </w:rPr>
        <w:t xml:space="preserve">Інформаційні листи від компаній виробників програмної продукції та обладнання, які закуповуються або їх офіційних п</w:t>
      </w:r>
      <w:r>
        <w:rPr>
          <w:rFonts w:ascii="Times New Roman" w:hAnsi="Times New Roman" w:cs="Times New Roman"/>
          <w:bCs/>
          <w:sz w:val="24"/>
          <w:szCs w:val="24"/>
        </w:rPr>
        <w:t xml:space="preserve">редставництв в Україні, адресованих на ім‘я Замовника, із посиланням на дану процедуру закупівлі та зазначенням назви та адреси учасника, які підтверджують повноваження  учасника постачати програмну продукцію та обладнання, передбачені предметом закупівлі.</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21 403 000</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двадцять один </w:t>
      </w:r>
      <w:r>
        <w:rPr>
          <w:rFonts w:ascii="Times New Roman" w:hAnsi="Times New Roman" w:eastAsia="Times New Roman" w:cs="Times New Roman"/>
          <w:sz w:val="24"/>
          <w:szCs w:val="24"/>
          <w:lang w:eastAsia="ru-RU"/>
        </w:rPr>
        <w:t xml:space="preserve"> мільйон </w:t>
      </w:r>
      <w:r>
        <w:rPr>
          <w:rFonts w:ascii="Times New Roman" w:hAnsi="Times New Roman" w:eastAsia="Times New Roman" w:cs="Times New Roman"/>
          <w:sz w:val="24"/>
          <w:szCs w:val="24"/>
          <w:lang w:eastAsia="ru-RU"/>
        </w:rPr>
        <w:t xml:space="preserve">чотириста три тисячі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Unicode MS">
    <w:panose1 w:val="020B06040202020202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6"/>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9">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7">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4">
    <w:multiLevelType w:val="hybridMultilevel"/>
    <w:lvl w:ilvl="0">
      <w:start w:val="1"/>
      <w:numFmt w:val="bullet"/>
      <w:isLgl w:val="false"/>
      <w:suff w:val="tab"/>
      <w:lvlText w:val=""/>
      <w:lvlJc w:val="left"/>
      <w:pPr>
        <w:ind w:left="780" w:hanging="360"/>
      </w:pPr>
      <w:rPr>
        <w:rFonts w:hint="default" w:ascii="Symbol" w:hAnsi="Symbol"/>
      </w:rPr>
    </w:lvl>
    <w:lvl w:ilvl="1">
      <w:start w:val="1"/>
      <w:numFmt w:val="bullet"/>
      <w:isLgl w:val="false"/>
      <w:suff w:val="tab"/>
      <w:lvlText w:val="o"/>
      <w:lvlJc w:val="left"/>
      <w:pPr>
        <w:ind w:left="1500" w:hanging="360"/>
      </w:pPr>
      <w:rPr>
        <w:rFonts w:hint="default" w:ascii="Courier New" w:hAnsi="Courier New" w:cs="Courier New"/>
      </w:rPr>
    </w:lvl>
    <w:lvl w:ilvl="2">
      <w:start w:val="1"/>
      <w:numFmt w:val="bullet"/>
      <w:isLgl w:val="false"/>
      <w:suff w:val="tab"/>
      <w:lvlText w:val=""/>
      <w:lvlJc w:val="left"/>
      <w:pPr>
        <w:ind w:left="2220" w:hanging="360"/>
      </w:pPr>
      <w:rPr>
        <w:rFonts w:hint="default" w:ascii="Wingdings" w:hAnsi="Wingdings"/>
      </w:rPr>
    </w:lvl>
    <w:lvl w:ilvl="3">
      <w:start w:val="1"/>
      <w:numFmt w:val="bullet"/>
      <w:isLgl w:val="false"/>
      <w:suff w:val="tab"/>
      <w:lvlText w:val=""/>
      <w:lvlJc w:val="left"/>
      <w:pPr>
        <w:ind w:left="2940" w:hanging="360"/>
      </w:pPr>
      <w:rPr>
        <w:rFonts w:hint="default" w:ascii="Symbol" w:hAnsi="Symbol"/>
      </w:rPr>
    </w:lvl>
    <w:lvl w:ilvl="4">
      <w:start w:val="1"/>
      <w:numFmt w:val="bullet"/>
      <w:isLgl w:val="false"/>
      <w:suff w:val="tab"/>
      <w:lvlText w:val="o"/>
      <w:lvlJc w:val="left"/>
      <w:pPr>
        <w:ind w:left="3660" w:hanging="360"/>
      </w:pPr>
      <w:rPr>
        <w:rFonts w:hint="default" w:ascii="Courier New" w:hAnsi="Courier New" w:cs="Courier New"/>
      </w:rPr>
    </w:lvl>
    <w:lvl w:ilvl="5">
      <w:start w:val="1"/>
      <w:numFmt w:val="bullet"/>
      <w:isLgl w:val="false"/>
      <w:suff w:val="tab"/>
      <w:lvlText w:val=""/>
      <w:lvlJc w:val="left"/>
      <w:pPr>
        <w:ind w:left="4380" w:hanging="360"/>
      </w:pPr>
      <w:rPr>
        <w:rFonts w:hint="default" w:ascii="Wingdings" w:hAnsi="Wingdings"/>
      </w:rPr>
    </w:lvl>
    <w:lvl w:ilvl="6">
      <w:start w:val="1"/>
      <w:numFmt w:val="bullet"/>
      <w:isLgl w:val="false"/>
      <w:suff w:val="tab"/>
      <w:lvlText w:val=""/>
      <w:lvlJc w:val="left"/>
      <w:pPr>
        <w:ind w:left="5100" w:hanging="360"/>
      </w:pPr>
      <w:rPr>
        <w:rFonts w:hint="default" w:ascii="Symbol" w:hAnsi="Symbol"/>
      </w:rPr>
    </w:lvl>
    <w:lvl w:ilvl="7">
      <w:start w:val="1"/>
      <w:numFmt w:val="bullet"/>
      <w:isLgl w:val="false"/>
      <w:suff w:val="tab"/>
      <w:lvlText w:val="o"/>
      <w:lvlJc w:val="left"/>
      <w:pPr>
        <w:ind w:left="5820" w:hanging="360"/>
      </w:pPr>
      <w:rPr>
        <w:rFonts w:hint="default" w:ascii="Courier New" w:hAnsi="Courier New" w:cs="Courier New"/>
      </w:rPr>
    </w:lvl>
    <w:lvl w:ilvl="8">
      <w:start w:val="1"/>
      <w:numFmt w:val="bullet"/>
      <w:isLgl w:val="false"/>
      <w:suff w:val="tab"/>
      <w:lvlText w:val=""/>
      <w:lvlJc w:val="left"/>
      <w:pPr>
        <w:ind w:left="6540" w:hanging="360"/>
      </w:pPr>
      <w:rPr>
        <w:rFonts w:hint="default" w:ascii="Wingdings" w:hAnsi="Wingdings"/>
      </w:rPr>
    </w:lvl>
  </w:abstractNum>
  <w:abstractNum w:abstractNumId="35">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4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42">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3">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5"/>
  </w:num>
  <w:num w:numId="2">
    <w:abstractNumId w:val="19"/>
  </w:num>
  <w:num w:numId="3">
    <w:abstractNumId w:val="9"/>
  </w:num>
  <w:num w:numId="4">
    <w:abstractNumId w:val="28"/>
  </w:num>
  <w:num w:numId="5">
    <w:abstractNumId w:val="8"/>
  </w:num>
  <w:num w:numId="6">
    <w:abstractNumId w:val="36"/>
  </w:num>
  <w:num w:numId="7">
    <w:abstractNumId w:val="12"/>
  </w:num>
  <w:num w:numId="8">
    <w:abstractNumId w:val="38"/>
  </w:num>
  <w:num w:numId="9">
    <w:abstractNumId w:val="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7"/>
  </w:num>
  <w:num w:numId="17">
    <w:abstractNumId w:val="2"/>
  </w:num>
  <w:num w:numId="18">
    <w:abstractNumId w:val="43"/>
  </w:num>
  <w:num w:numId="19">
    <w:abstractNumId w:val="29"/>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0"/>
  </w:num>
  <w:num w:numId="25">
    <w:abstractNumId w:val="21"/>
  </w:num>
  <w:num w:numId="26">
    <w:abstractNumId w:val="24"/>
  </w:num>
  <w:num w:numId="27">
    <w:abstractNumId w:val="32"/>
  </w:num>
  <w:num w:numId="28">
    <w:abstractNumId w:val="22"/>
  </w:num>
  <w:num w:numId="29">
    <w:abstractNumId w:val="33"/>
  </w:num>
  <w:num w:numId="30">
    <w:abstractNumId w:val="18"/>
  </w:num>
  <w:num w:numId="31">
    <w:abstractNumId w:val="4"/>
  </w:num>
  <w:num w:numId="32">
    <w:abstractNumId w:val="20"/>
  </w:num>
  <w:num w:numId="33">
    <w:abstractNumId w:val="17"/>
  </w:num>
  <w:num w:numId="34">
    <w:abstractNumId w:val="15"/>
  </w:num>
  <w:num w:numId="35">
    <w:abstractNumId w:val="40"/>
  </w:num>
  <w:num w:numId="36">
    <w:abstractNumId w:val="6"/>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42"/>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1"/>
  </w:num>
  <w:num w:numId="43">
    <w:abstractNumId w:val="41"/>
  </w:num>
  <w:num w:numId="44">
    <w:abstractNumId w:val="34"/>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33"/>
    <w:next w:val="733"/>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7"/>
    <w:link w:val="12"/>
    <w:uiPriority w:val="9"/>
    <w:rPr>
      <w:rFonts w:ascii="Arial" w:hAnsi="Arial" w:eastAsia="Arial" w:cs="Arial"/>
      <w:sz w:val="40"/>
      <w:szCs w:val="40"/>
    </w:rPr>
  </w:style>
  <w:style w:type="character" w:styleId="15">
    <w:name w:val="Heading 2 Char"/>
    <w:basedOn w:val="737"/>
    <w:link w:val="734"/>
    <w:uiPriority w:val="9"/>
    <w:rPr>
      <w:rFonts w:ascii="Arial" w:hAnsi="Arial" w:eastAsia="Arial" w:cs="Arial"/>
      <w:sz w:val="34"/>
    </w:rPr>
  </w:style>
  <w:style w:type="character" w:styleId="17">
    <w:name w:val="Heading 3 Char"/>
    <w:basedOn w:val="737"/>
    <w:link w:val="735"/>
    <w:uiPriority w:val="9"/>
    <w:rPr>
      <w:rFonts w:ascii="Arial" w:hAnsi="Arial" w:eastAsia="Arial" w:cs="Arial"/>
      <w:sz w:val="30"/>
      <w:szCs w:val="30"/>
    </w:rPr>
  </w:style>
  <w:style w:type="character" w:styleId="19">
    <w:name w:val="Heading 4 Char"/>
    <w:basedOn w:val="737"/>
    <w:link w:val="736"/>
    <w:uiPriority w:val="9"/>
    <w:rPr>
      <w:rFonts w:ascii="Arial" w:hAnsi="Arial" w:eastAsia="Arial" w:cs="Arial"/>
      <w:b/>
      <w:bCs/>
      <w:sz w:val="26"/>
      <w:szCs w:val="26"/>
    </w:rPr>
  </w:style>
  <w:style w:type="paragraph" w:styleId="20">
    <w:name w:val="Heading 5"/>
    <w:basedOn w:val="733"/>
    <w:next w:val="733"/>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7"/>
    <w:link w:val="20"/>
    <w:uiPriority w:val="9"/>
    <w:rPr>
      <w:rFonts w:ascii="Arial" w:hAnsi="Arial" w:eastAsia="Arial" w:cs="Arial"/>
      <w:b/>
      <w:bCs/>
      <w:sz w:val="24"/>
      <w:szCs w:val="24"/>
    </w:rPr>
  </w:style>
  <w:style w:type="paragraph" w:styleId="22">
    <w:name w:val="Heading 6"/>
    <w:basedOn w:val="733"/>
    <w:next w:val="733"/>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7"/>
    <w:link w:val="22"/>
    <w:uiPriority w:val="9"/>
    <w:rPr>
      <w:rFonts w:ascii="Arial" w:hAnsi="Arial" w:eastAsia="Arial" w:cs="Arial"/>
      <w:b/>
      <w:bCs/>
      <w:sz w:val="22"/>
      <w:szCs w:val="22"/>
    </w:rPr>
  </w:style>
  <w:style w:type="paragraph" w:styleId="24">
    <w:name w:val="Heading 7"/>
    <w:basedOn w:val="733"/>
    <w:next w:val="733"/>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7"/>
    <w:link w:val="24"/>
    <w:uiPriority w:val="9"/>
    <w:rPr>
      <w:rFonts w:ascii="Arial" w:hAnsi="Arial" w:eastAsia="Arial" w:cs="Arial"/>
      <w:b/>
      <w:bCs/>
      <w:i/>
      <w:iCs/>
      <w:sz w:val="22"/>
      <w:szCs w:val="22"/>
    </w:rPr>
  </w:style>
  <w:style w:type="paragraph" w:styleId="26">
    <w:name w:val="Heading 8"/>
    <w:basedOn w:val="733"/>
    <w:next w:val="733"/>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7"/>
    <w:link w:val="26"/>
    <w:uiPriority w:val="9"/>
    <w:rPr>
      <w:rFonts w:ascii="Arial" w:hAnsi="Arial" w:eastAsia="Arial" w:cs="Arial"/>
      <w:i/>
      <w:iCs/>
      <w:sz w:val="22"/>
      <w:szCs w:val="22"/>
    </w:rPr>
  </w:style>
  <w:style w:type="paragraph" w:styleId="28">
    <w:name w:val="Heading 9"/>
    <w:basedOn w:val="733"/>
    <w:next w:val="733"/>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7"/>
    <w:link w:val="28"/>
    <w:uiPriority w:val="9"/>
    <w:rPr>
      <w:rFonts w:ascii="Arial" w:hAnsi="Arial" w:eastAsia="Arial" w:cs="Arial"/>
      <w:i/>
      <w:iCs/>
      <w:sz w:val="21"/>
      <w:szCs w:val="21"/>
    </w:rPr>
  </w:style>
  <w:style w:type="character" w:styleId="34">
    <w:name w:val="Title Char"/>
    <w:basedOn w:val="737"/>
    <w:link w:val="779"/>
    <w:uiPriority w:val="10"/>
    <w:rPr>
      <w:sz w:val="48"/>
      <w:szCs w:val="48"/>
    </w:rPr>
  </w:style>
  <w:style w:type="paragraph" w:styleId="35">
    <w:name w:val="Subtitle"/>
    <w:basedOn w:val="733"/>
    <w:next w:val="733"/>
    <w:link w:val="36"/>
    <w:uiPriority w:val="11"/>
    <w:qFormat/>
    <w:pPr>
      <w:spacing w:before="200" w:after="200"/>
    </w:pPr>
    <w:rPr>
      <w:sz w:val="24"/>
      <w:szCs w:val="24"/>
    </w:rPr>
  </w:style>
  <w:style w:type="character" w:styleId="36">
    <w:name w:val="Subtitle Char"/>
    <w:basedOn w:val="737"/>
    <w:link w:val="35"/>
    <w:uiPriority w:val="11"/>
    <w:rPr>
      <w:sz w:val="24"/>
      <w:szCs w:val="24"/>
    </w:rPr>
  </w:style>
  <w:style w:type="paragraph" w:styleId="37">
    <w:name w:val="Quote"/>
    <w:basedOn w:val="733"/>
    <w:next w:val="733"/>
    <w:link w:val="38"/>
    <w:uiPriority w:val="29"/>
    <w:qFormat/>
    <w:pPr>
      <w:ind w:left="720" w:right="720"/>
    </w:pPr>
    <w:rPr>
      <w:i/>
    </w:rPr>
  </w:style>
  <w:style w:type="character" w:styleId="38">
    <w:name w:val="Quote Char"/>
    <w:link w:val="37"/>
    <w:uiPriority w:val="29"/>
    <w:rPr>
      <w:i/>
    </w:rPr>
  </w:style>
  <w:style w:type="paragraph" w:styleId="39">
    <w:name w:val="Intense Quote"/>
    <w:basedOn w:val="733"/>
    <w:next w:val="733"/>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33"/>
    <w:link w:val="42"/>
    <w:uiPriority w:val="99"/>
    <w:unhideWhenUsed/>
    <w:pPr>
      <w:spacing w:after="0" w:line="240" w:lineRule="auto"/>
      <w:tabs>
        <w:tab w:val="center" w:pos="7143" w:leader="none"/>
        <w:tab w:val="right" w:pos="14287" w:leader="none"/>
      </w:tabs>
    </w:pPr>
  </w:style>
  <w:style w:type="character" w:styleId="42">
    <w:name w:val="Header Char"/>
    <w:basedOn w:val="737"/>
    <w:link w:val="41"/>
    <w:uiPriority w:val="99"/>
  </w:style>
  <w:style w:type="character" w:styleId="44">
    <w:name w:val="Footer Char"/>
    <w:basedOn w:val="737"/>
    <w:link w:val="746"/>
    <w:uiPriority w:val="99"/>
  </w:style>
  <w:style w:type="paragraph" w:styleId="45">
    <w:name w:val="Caption"/>
    <w:basedOn w:val="733"/>
    <w:next w:val="733"/>
    <w:uiPriority w:val="35"/>
    <w:semiHidden/>
    <w:unhideWhenUsed/>
    <w:qFormat/>
    <w:pPr>
      <w:spacing w:line="276" w:lineRule="auto"/>
    </w:pPr>
    <w:rPr>
      <w:b/>
      <w:bCs/>
      <w:color w:val="4f81bd" w:themeColor="accent1"/>
      <w:sz w:val="18"/>
      <w:szCs w:val="18"/>
    </w:rPr>
  </w:style>
  <w:style w:type="character" w:styleId="46">
    <w:name w:val="Caption Char"/>
    <w:basedOn w:val="45"/>
    <w:link w:val="746"/>
    <w:uiPriority w:val="99"/>
  </w:style>
  <w:style w:type="table" w:styleId="48">
    <w:name w:val="Table Grid Light"/>
    <w:basedOn w:val="73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33"/>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7"/>
    <w:uiPriority w:val="99"/>
    <w:unhideWhenUsed/>
    <w:rPr>
      <w:vertAlign w:val="superscript"/>
    </w:rPr>
  </w:style>
  <w:style w:type="paragraph" w:styleId="177">
    <w:name w:val="endnote text"/>
    <w:basedOn w:val="733"/>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7"/>
    <w:uiPriority w:val="99"/>
    <w:semiHidden/>
    <w:unhideWhenUsed/>
    <w:rPr>
      <w:vertAlign w:val="superscript"/>
    </w:rPr>
  </w:style>
  <w:style w:type="paragraph" w:styleId="180">
    <w:name w:val="toc 1"/>
    <w:basedOn w:val="733"/>
    <w:next w:val="733"/>
    <w:uiPriority w:val="39"/>
    <w:unhideWhenUsed/>
    <w:pPr>
      <w:ind w:left="0" w:right="0" w:firstLine="0"/>
      <w:spacing w:after="57"/>
    </w:pPr>
  </w:style>
  <w:style w:type="paragraph" w:styleId="181">
    <w:name w:val="toc 2"/>
    <w:basedOn w:val="733"/>
    <w:next w:val="733"/>
    <w:uiPriority w:val="39"/>
    <w:unhideWhenUsed/>
    <w:pPr>
      <w:ind w:left="283" w:right="0" w:firstLine="0"/>
      <w:spacing w:after="57"/>
    </w:pPr>
  </w:style>
  <w:style w:type="paragraph" w:styleId="182">
    <w:name w:val="toc 3"/>
    <w:basedOn w:val="733"/>
    <w:next w:val="733"/>
    <w:uiPriority w:val="39"/>
    <w:unhideWhenUsed/>
    <w:pPr>
      <w:ind w:left="567" w:right="0" w:firstLine="0"/>
      <w:spacing w:after="57"/>
    </w:pPr>
  </w:style>
  <w:style w:type="paragraph" w:styleId="183">
    <w:name w:val="toc 4"/>
    <w:basedOn w:val="733"/>
    <w:next w:val="733"/>
    <w:uiPriority w:val="39"/>
    <w:unhideWhenUsed/>
    <w:pPr>
      <w:ind w:left="850" w:right="0" w:firstLine="0"/>
      <w:spacing w:after="57"/>
    </w:pPr>
  </w:style>
  <w:style w:type="paragraph" w:styleId="184">
    <w:name w:val="toc 5"/>
    <w:basedOn w:val="733"/>
    <w:next w:val="733"/>
    <w:uiPriority w:val="39"/>
    <w:unhideWhenUsed/>
    <w:pPr>
      <w:ind w:left="1134" w:right="0" w:firstLine="0"/>
      <w:spacing w:after="57"/>
    </w:pPr>
  </w:style>
  <w:style w:type="paragraph" w:styleId="185">
    <w:name w:val="toc 6"/>
    <w:basedOn w:val="733"/>
    <w:next w:val="733"/>
    <w:uiPriority w:val="39"/>
    <w:unhideWhenUsed/>
    <w:pPr>
      <w:ind w:left="1417" w:right="0" w:firstLine="0"/>
      <w:spacing w:after="57"/>
    </w:pPr>
  </w:style>
  <w:style w:type="paragraph" w:styleId="186">
    <w:name w:val="toc 7"/>
    <w:basedOn w:val="733"/>
    <w:next w:val="733"/>
    <w:uiPriority w:val="39"/>
    <w:unhideWhenUsed/>
    <w:pPr>
      <w:ind w:left="1701" w:right="0" w:firstLine="0"/>
      <w:spacing w:after="57"/>
    </w:pPr>
  </w:style>
  <w:style w:type="paragraph" w:styleId="187">
    <w:name w:val="toc 8"/>
    <w:basedOn w:val="733"/>
    <w:next w:val="733"/>
    <w:uiPriority w:val="39"/>
    <w:unhideWhenUsed/>
    <w:pPr>
      <w:ind w:left="1984" w:right="0" w:firstLine="0"/>
      <w:spacing w:after="57"/>
    </w:pPr>
  </w:style>
  <w:style w:type="paragraph" w:styleId="188">
    <w:name w:val="toc 9"/>
    <w:basedOn w:val="733"/>
    <w:next w:val="733"/>
    <w:uiPriority w:val="39"/>
    <w:unhideWhenUsed/>
    <w:pPr>
      <w:ind w:left="2268" w:right="0" w:firstLine="0"/>
      <w:spacing w:after="57"/>
    </w:pPr>
  </w:style>
  <w:style w:type="paragraph" w:styleId="189">
    <w:name w:val="TOC Heading"/>
    <w:uiPriority w:val="39"/>
    <w:unhideWhenUsed/>
  </w:style>
  <w:style w:type="paragraph" w:styleId="190">
    <w:name w:val="table of figures"/>
    <w:basedOn w:val="733"/>
    <w:next w:val="733"/>
    <w:uiPriority w:val="99"/>
    <w:unhideWhenUsed/>
    <w:pPr>
      <w:spacing w:after="0" w:afterAutospacing="0"/>
    </w:pPr>
  </w:style>
  <w:style w:type="paragraph" w:styleId="733" w:default="1">
    <w:name w:val="Normal"/>
    <w:qFormat/>
    <w:rPr>
      <w:lang w:val="uk-UA"/>
    </w:rPr>
  </w:style>
  <w:style w:type="paragraph" w:styleId="734">
    <w:name w:val="Heading 2"/>
    <w:basedOn w:val="733"/>
    <w:link w:val="755"/>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35">
    <w:name w:val="Heading 3"/>
    <w:basedOn w:val="733"/>
    <w:next w:val="733"/>
    <w:link w:val="772"/>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6">
    <w:name w:val="Heading 4"/>
    <w:basedOn w:val="733"/>
    <w:next w:val="733"/>
    <w:link w:val="773"/>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7" w:default="1">
    <w:name w:val="Default Paragraph Font"/>
    <w:uiPriority w:val="1"/>
    <w:semiHidden/>
    <w:unhideWhenUsed/>
  </w:style>
  <w:style w:type="table" w:styleId="738" w:default="1">
    <w:name w:val="Normal Table"/>
    <w:uiPriority w:val="99"/>
    <w:semiHidden/>
    <w:unhideWhenUsed/>
    <w:tblPr>
      <w:tblInd w:w="0" w:type="dxa"/>
      <w:tblCellMar>
        <w:left w:w="108" w:type="dxa"/>
        <w:top w:w="0" w:type="dxa"/>
        <w:right w:w="108" w:type="dxa"/>
        <w:bottom w:w="0" w:type="dxa"/>
      </w:tblCellMar>
    </w:tblPr>
  </w:style>
  <w:style w:type="numbering" w:styleId="739" w:default="1">
    <w:name w:val="No List"/>
    <w:uiPriority w:val="99"/>
    <w:semiHidden/>
    <w:unhideWhenUsed/>
  </w:style>
  <w:style w:type="paragraph" w:styleId="740">
    <w:name w:val="List Paragraph"/>
    <w:basedOn w:val="733"/>
    <w:link w:val="741"/>
    <w:uiPriority w:val="34"/>
    <w:qFormat/>
    <w:pPr>
      <w:contextualSpacing/>
      <w:ind w:left="720"/>
      <w:spacing w:after="200" w:line="276" w:lineRule="auto"/>
    </w:pPr>
    <w:rPr>
      <w:rFonts w:ascii="Calibri" w:hAnsi="Calibri" w:eastAsia="Calibri" w:cs="Calibri"/>
      <w:lang w:val="ru-RU" w:eastAsia="zh-CN"/>
    </w:rPr>
  </w:style>
  <w:style w:type="character" w:styleId="741" w:customStyle="1">
    <w:name w:val="Абзац списку Знак"/>
    <w:link w:val="740"/>
    <w:uiPriority w:val="34"/>
    <w:qFormat/>
    <w:rPr>
      <w:rFonts w:ascii="Calibri" w:hAnsi="Calibri" w:eastAsia="Calibri" w:cs="Calibri"/>
      <w:lang w:eastAsia="zh-CN"/>
    </w:rPr>
  </w:style>
  <w:style w:type="table" w:styleId="742">
    <w:name w:val="Table Grid"/>
    <w:basedOn w:val="738"/>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43" w:customStyle="1">
    <w:name w:val="Сетка таблицы2"/>
    <w:basedOn w:val="738"/>
    <w:next w:val="742"/>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4">
    <w:name w:val="Normal (Web)"/>
    <w:basedOn w:val="733"/>
    <w:link w:val="751"/>
    <w:unhideWhenUsed/>
    <w:qFormat/>
    <w:rPr>
      <w:rFonts w:ascii="Times New Roman" w:hAnsi="Times New Roman" w:cs="Times New Roman"/>
      <w:sz w:val="24"/>
      <w:szCs w:val="24"/>
    </w:rPr>
  </w:style>
  <w:style w:type="table" w:styleId="745" w:customStyle="1">
    <w:name w:val="Сетка таблицы1"/>
    <w:basedOn w:val="738"/>
    <w:next w:val="742"/>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6">
    <w:name w:val="Footer"/>
    <w:basedOn w:val="733"/>
    <w:link w:val="747"/>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7" w:customStyle="1">
    <w:name w:val="Нижній колонтитул Знак"/>
    <w:basedOn w:val="737"/>
    <w:link w:val="746"/>
    <w:uiPriority w:val="99"/>
    <w:rPr>
      <w:rFonts w:ascii="Calibri" w:hAnsi="Calibri" w:eastAsia="Calibri" w:cs="Calibri"/>
      <w:lang w:eastAsia="zh-CN"/>
    </w:rPr>
  </w:style>
  <w:style w:type="paragraph" w:styleId="748"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9">
    <w:name w:val="Hyperlink"/>
    <w:basedOn w:val="737"/>
    <w:uiPriority w:val="99"/>
    <w:unhideWhenUsed/>
    <w:rPr>
      <w:color w:val="0563c1" w:themeColor="hyperlink"/>
      <w:u w:val="single"/>
    </w:rPr>
  </w:style>
  <w:style w:type="character" w:styleId="750" w:customStyle="1">
    <w:name w:val="xfm_93972720"/>
    <w:basedOn w:val="737"/>
  </w:style>
  <w:style w:type="character" w:styleId="751" w:customStyle="1">
    <w:name w:val="Звичайний (веб) Знак"/>
    <w:link w:val="744"/>
    <w:qFormat/>
    <w:rPr>
      <w:rFonts w:ascii="Times New Roman" w:hAnsi="Times New Roman" w:cs="Times New Roman"/>
      <w:sz w:val="24"/>
      <w:szCs w:val="24"/>
      <w:lang w:val="uk-UA"/>
    </w:rPr>
  </w:style>
  <w:style w:type="paragraph" w:styleId="752">
    <w:name w:val="Body Text 2"/>
    <w:basedOn w:val="733"/>
    <w:link w:val="753"/>
    <w:pPr>
      <w:spacing w:after="0" w:line="240" w:lineRule="auto"/>
    </w:pPr>
    <w:rPr>
      <w:rFonts w:ascii="Times New Roman" w:hAnsi="Times New Roman" w:eastAsia="Times New Roman" w:cs="Times New Roman"/>
      <w:sz w:val="28"/>
      <w:szCs w:val="20"/>
      <w:lang w:val="ru-RU" w:eastAsia="ru-RU"/>
    </w:rPr>
  </w:style>
  <w:style w:type="character" w:styleId="753" w:customStyle="1">
    <w:name w:val="Основний текст 2 Знак"/>
    <w:basedOn w:val="737"/>
    <w:link w:val="752"/>
    <w:rPr>
      <w:rFonts w:ascii="Times New Roman" w:hAnsi="Times New Roman" w:eastAsia="Times New Roman" w:cs="Times New Roman"/>
      <w:sz w:val="28"/>
      <w:szCs w:val="20"/>
      <w:lang w:eastAsia="ru-RU"/>
    </w:rPr>
  </w:style>
  <w:style w:type="paragraph" w:styleId="754"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55" w:customStyle="1">
    <w:name w:val="Заголовок 2 Знак"/>
    <w:basedOn w:val="737"/>
    <w:link w:val="734"/>
    <w:uiPriority w:val="9"/>
    <w:rPr>
      <w:rFonts w:ascii="Times New Roman" w:hAnsi="Times New Roman" w:eastAsia="Times New Roman" w:cs="Times New Roman"/>
      <w:b/>
      <w:bCs/>
      <w:sz w:val="36"/>
      <w:szCs w:val="36"/>
      <w:lang w:val="uk-UA" w:eastAsia="uk-UA"/>
    </w:rPr>
  </w:style>
  <w:style w:type="paragraph" w:styleId="756">
    <w:name w:val="No Spacing"/>
    <w:link w:val="757"/>
    <w:uiPriority w:val="1"/>
    <w:qFormat/>
    <w:pPr>
      <w:spacing w:after="0" w:line="240" w:lineRule="auto"/>
    </w:pPr>
    <w:rPr>
      <w:rFonts w:ascii="Calibri" w:hAnsi="Calibri" w:eastAsia="Calibri" w:cs="Times New Roman"/>
      <w:lang w:val="uk-UA"/>
    </w:rPr>
  </w:style>
  <w:style w:type="character" w:styleId="757" w:customStyle="1">
    <w:name w:val="Без інтервалів Знак"/>
    <w:basedOn w:val="737"/>
    <w:link w:val="756"/>
    <w:uiPriority w:val="1"/>
    <w:rPr>
      <w:rFonts w:ascii="Calibri" w:hAnsi="Calibri" w:eastAsia="Calibri" w:cs="Times New Roman"/>
      <w:lang w:val="uk-UA"/>
    </w:rPr>
  </w:style>
  <w:style w:type="character" w:styleId="758" w:customStyle="1">
    <w:name w:val="Другое_"/>
    <w:basedOn w:val="737"/>
    <w:link w:val="759"/>
    <w:rPr>
      <w:rFonts w:ascii="Calibri" w:hAnsi="Calibri" w:eastAsia="Calibri" w:cs="Calibri"/>
      <w:sz w:val="20"/>
      <w:szCs w:val="20"/>
    </w:rPr>
  </w:style>
  <w:style w:type="paragraph" w:styleId="759" w:customStyle="1">
    <w:name w:val="Другое"/>
    <w:basedOn w:val="733"/>
    <w:link w:val="758"/>
    <w:qFormat/>
    <w:pPr>
      <w:spacing w:after="0" w:line="240" w:lineRule="auto"/>
      <w:widowControl w:val="off"/>
    </w:pPr>
    <w:rPr>
      <w:rFonts w:ascii="Calibri" w:hAnsi="Calibri" w:eastAsia="Calibri" w:cs="Calibri"/>
      <w:sz w:val="20"/>
      <w:szCs w:val="20"/>
      <w:lang w:val="ru-RU"/>
    </w:rPr>
  </w:style>
  <w:style w:type="paragraph" w:styleId="760"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61" w:customStyle="1">
    <w:name w:val="Основной текст (2)_"/>
    <w:basedOn w:val="737"/>
    <w:link w:val="762"/>
    <w:rPr>
      <w:rFonts w:eastAsia="Times New Roman" w:cs="Times New Roman"/>
      <w:shd w:val="clear" w:color="auto" w:fill="ffffff"/>
    </w:rPr>
  </w:style>
  <w:style w:type="paragraph" w:styleId="762" w:customStyle="1">
    <w:name w:val="Основной текст (2)"/>
    <w:basedOn w:val="733"/>
    <w:link w:val="761"/>
    <w:pPr>
      <w:ind w:hanging="700"/>
      <w:jc w:val="both"/>
      <w:spacing w:before="240" w:after="480" w:line="0" w:lineRule="atLeast"/>
      <w:shd w:val="clear" w:color="auto" w:fill="ffffff"/>
      <w:widowControl w:val="off"/>
    </w:pPr>
    <w:rPr>
      <w:rFonts w:eastAsia="Times New Roman" w:cs="Times New Roman"/>
      <w:lang w:val="ru-RU"/>
    </w:rPr>
  </w:style>
  <w:style w:type="character" w:styleId="763" w:customStyle="1">
    <w:name w:val="Текст у виносці Знак"/>
    <w:basedOn w:val="737"/>
    <w:link w:val="764"/>
    <w:uiPriority w:val="99"/>
    <w:semiHidden/>
    <w:rPr>
      <w:rFonts w:ascii="Segoe UI" w:hAnsi="Segoe UI" w:eastAsia="Times New Roman" w:cs="Segoe UI"/>
      <w:sz w:val="18"/>
      <w:szCs w:val="18"/>
      <w:lang w:eastAsia="ru-RU"/>
    </w:rPr>
  </w:style>
  <w:style w:type="paragraph" w:styleId="764">
    <w:name w:val="Balloon Text"/>
    <w:basedOn w:val="733"/>
    <w:link w:val="763"/>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65" w:customStyle="1">
    <w:name w:val="Текст у виносці Знак1"/>
    <w:basedOn w:val="737"/>
    <w:uiPriority w:val="99"/>
    <w:semiHidden/>
    <w:rPr>
      <w:rFonts w:ascii="Segoe UI" w:hAnsi="Segoe UI" w:cs="Segoe UI"/>
      <w:sz w:val="18"/>
      <w:szCs w:val="18"/>
      <w:lang w:val="uk-UA"/>
    </w:rPr>
  </w:style>
  <w:style w:type="character" w:styleId="766" w:customStyle="1">
    <w:name w:val="T23"/>
    <w:rPr>
      <w:rFonts w:hint="default" w:ascii="Times New Roman" w:hAnsi="Times New Roman" w:eastAsia="Times New Roman1" w:cs="Times New Roman"/>
    </w:rPr>
  </w:style>
  <w:style w:type="paragraph" w:styleId="767" w:customStyle="1">
    <w:name w:val="Абзац списку1"/>
    <w:basedOn w:val="733"/>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8" w:customStyle="1">
    <w:name w:val="markedcontent"/>
    <w:basedOn w:val="737"/>
  </w:style>
  <w:style w:type="paragraph" w:styleId="769">
    <w:name w:val="annotation text"/>
    <w:basedOn w:val="733"/>
    <w:link w:val="770"/>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70" w:customStyle="1">
    <w:name w:val="Текст примітки Знак"/>
    <w:basedOn w:val="737"/>
    <w:link w:val="769"/>
    <w:uiPriority w:val="99"/>
    <w:rPr>
      <w:rFonts w:ascii="Times New Roman" w:hAnsi="Times New Roman" w:eastAsia="Times New Roman" w:cs="Times New Roman"/>
      <w:sz w:val="20"/>
      <w:szCs w:val="20"/>
      <w:lang w:eastAsia="ru-RU"/>
    </w:rPr>
  </w:style>
  <w:style w:type="character" w:styleId="771" w:customStyle="1">
    <w:name w:val="docdata"/>
    <w:basedOn w:val="737"/>
  </w:style>
  <w:style w:type="character" w:styleId="772" w:customStyle="1">
    <w:name w:val="Заголовок 3 Знак"/>
    <w:basedOn w:val="737"/>
    <w:link w:val="735"/>
    <w:uiPriority w:val="9"/>
    <w:semiHidden/>
    <w:rPr>
      <w:rFonts w:asciiTheme="majorHAnsi" w:hAnsiTheme="majorHAnsi" w:eastAsiaTheme="majorEastAsia" w:cstheme="majorBidi"/>
      <w:color w:val="1f4d78" w:themeColor="accent1" w:themeShade="7F"/>
      <w:sz w:val="24"/>
      <w:szCs w:val="24"/>
      <w:lang w:val="uk-UA"/>
    </w:rPr>
  </w:style>
  <w:style w:type="character" w:styleId="773" w:customStyle="1">
    <w:name w:val="Заголовок 4 Знак"/>
    <w:basedOn w:val="737"/>
    <w:link w:val="736"/>
    <w:uiPriority w:val="9"/>
    <w:semiHidden/>
    <w:rPr>
      <w:rFonts w:asciiTheme="majorHAnsi" w:hAnsiTheme="majorHAnsi" w:eastAsiaTheme="majorEastAsia" w:cstheme="majorBidi"/>
      <w:i/>
      <w:iCs/>
      <w:color w:val="2e74b5" w:themeColor="accent1" w:themeShade="BF"/>
      <w:lang w:val="uk-UA"/>
    </w:rPr>
  </w:style>
  <w:style w:type="paragraph" w:styleId="774" w:customStyle="1">
    <w:name w:val="name-spec"/>
    <w:basedOn w:val="733"/>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75" w:customStyle="1">
    <w:name w:val="cont-spec"/>
    <w:basedOn w:val="733"/>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6">
    <w:name w:val="Strong"/>
    <w:basedOn w:val="737"/>
    <w:uiPriority w:val="22"/>
    <w:qFormat/>
    <w:rPr>
      <w:b/>
      <w:bCs/>
    </w:rPr>
  </w:style>
  <w:style w:type="paragraph" w:styleId="777" w:customStyle="1">
    <w:name w:val="rvps6"/>
    <w:basedOn w:val="733"/>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8"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 w:type="paragraph" w:styleId="779">
    <w:name w:val="Title"/>
    <w:basedOn w:val="733"/>
    <w:link w:val="780"/>
    <w:qFormat/>
    <w:pPr>
      <w:ind w:right="2834"/>
      <w:jc w:val="center"/>
      <w:spacing w:after="0" w:line="240" w:lineRule="auto"/>
      <w:shd w:val="clear" w:color="auto" w:fill="ffffff"/>
    </w:pPr>
    <w:rPr>
      <w:rFonts w:ascii="Times New Roman" w:hAnsi="Times New Roman" w:eastAsia="Times New Roman" w:cs="Times New Roman"/>
      <w:b/>
      <w:bCs/>
      <w:color w:val="000000"/>
      <w:spacing w:val="4"/>
      <w:sz w:val="28"/>
      <w:szCs w:val="28"/>
      <w:lang w:eastAsia="ru-RU"/>
    </w:rPr>
  </w:style>
  <w:style w:type="character" w:styleId="780" w:customStyle="1">
    <w:name w:val="Назва Знак"/>
    <w:basedOn w:val="737"/>
    <w:link w:val="779"/>
    <w:rPr>
      <w:rFonts w:ascii="Times New Roman" w:hAnsi="Times New Roman" w:eastAsia="Times New Roman" w:cs="Times New Roman"/>
      <w:b/>
      <w:bCs/>
      <w:color w:val="000000"/>
      <w:spacing w:val="4"/>
      <w:sz w:val="28"/>
      <w:szCs w:val="28"/>
      <w:shd w:val="clear" w:color="auto" w:fill="ffffff"/>
      <w:lang w:val="uk-UA"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171</cp:revision>
  <dcterms:created xsi:type="dcterms:W3CDTF">2022-11-01T12:47:00Z</dcterms:created>
  <dcterms:modified xsi:type="dcterms:W3CDTF">2024-07-10T13:38:44Z</dcterms:modified>
</cp:coreProperties>
</file>