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A4E6B5E" w:rsidR="00E1484E" w:rsidRPr="00EE3649"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E3649" w:rsidRPr="00EE3649">
        <w:rPr>
          <w:b w:val="0"/>
          <w:bCs w:val="0"/>
          <w:sz w:val="24"/>
          <w:szCs w:val="24"/>
        </w:rPr>
        <w:t xml:space="preserve">Послуги </w:t>
      </w:r>
      <w:r w:rsidR="00EE3649" w:rsidRPr="00EE3649">
        <w:rPr>
          <w:b w:val="0"/>
          <w:bCs w:val="0"/>
          <w:spacing w:val="1"/>
          <w:sz w:val="24"/>
          <w:szCs w:val="24"/>
        </w:rPr>
        <w:t xml:space="preserve">повірки 400 </w:t>
      </w:r>
      <w:bookmarkStart w:id="0" w:name="_Hlk214024566"/>
      <w:bookmarkStart w:id="1" w:name="_Hlk160539700"/>
      <w:r w:rsidR="00EE3649" w:rsidRPr="00EE3649">
        <w:rPr>
          <w:b w:val="0"/>
          <w:bCs w:val="0"/>
          <w:spacing w:val="1"/>
          <w:sz w:val="24"/>
          <w:szCs w:val="24"/>
        </w:rPr>
        <w:t>комплексів автоматичної фото/відеофіксації правопорушень в сфері забезпечення безпеки дорожнього руху</w:t>
      </w:r>
      <w:bookmarkEnd w:id="0"/>
      <w:r w:rsidR="00EE3649" w:rsidRPr="00EE3649">
        <w:rPr>
          <w:b w:val="0"/>
          <w:bCs w:val="0"/>
          <w:spacing w:val="1"/>
          <w:sz w:val="24"/>
          <w:szCs w:val="24"/>
        </w:rPr>
        <w:t xml:space="preserve"> </w:t>
      </w:r>
      <w:bookmarkEnd w:id="1"/>
      <w:r w:rsidR="00EE3649" w:rsidRPr="00EE3649">
        <w:rPr>
          <w:b w:val="0"/>
          <w:bCs w:val="0"/>
          <w:spacing w:val="1"/>
          <w:sz w:val="24"/>
          <w:szCs w:val="24"/>
        </w:rPr>
        <w:t>(включаючи регулювання та налаштування)</w:t>
      </w:r>
      <w:r w:rsidR="00EE3649" w:rsidRPr="00EE3649">
        <w:rPr>
          <w:b w:val="0"/>
          <w:bCs w:val="0"/>
          <w:sz w:val="24"/>
          <w:szCs w:val="24"/>
        </w:rPr>
        <w:t xml:space="preserve"> за кодом CPV за ЄЗС ДК 021:2015 – 50410000-2 </w:t>
      </w:r>
      <w:r w:rsidR="00EE3649" w:rsidRPr="00EE3649">
        <w:rPr>
          <w:b w:val="0"/>
          <w:bCs w:val="0"/>
          <w:i/>
          <w:sz w:val="24"/>
          <w:szCs w:val="24"/>
        </w:rPr>
        <w:t>«</w:t>
      </w:r>
      <w:r w:rsidR="00EE3649" w:rsidRPr="00EE3649">
        <w:rPr>
          <w:b w:val="0"/>
          <w:bCs w:val="0"/>
          <w:sz w:val="24"/>
          <w:szCs w:val="24"/>
        </w:rPr>
        <w:t>Послуги з ремонту і технічного обслуговування вимірювальних, випробувальних і контрольних приладів»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19A1B0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EE3649">
        <w:rPr>
          <w:rFonts w:ascii="Times New Roman" w:hAnsi="Times New Roman" w:cs="Times New Roman"/>
          <w:sz w:val="24"/>
          <w:szCs w:val="24"/>
        </w:rPr>
        <w:t>7</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006428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77034C3" w14:textId="77777777" w:rsidR="00EE3649" w:rsidRPr="00EE3649" w:rsidRDefault="009D1AE9" w:rsidP="00EE3649">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EE3649" w:rsidRPr="00EE3649">
        <w:rPr>
          <w:b w:val="0"/>
          <w:bCs w:val="0"/>
          <w:sz w:val="24"/>
          <w:szCs w:val="24"/>
        </w:rPr>
        <w:t xml:space="preserve">Послуги </w:t>
      </w:r>
      <w:r w:rsidR="00EE3649" w:rsidRPr="00EE3649">
        <w:rPr>
          <w:b w:val="0"/>
          <w:bCs w:val="0"/>
          <w:spacing w:val="1"/>
          <w:sz w:val="24"/>
          <w:szCs w:val="24"/>
        </w:rPr>
        <w:t>повірки 400 комплексів автоматичної фото/відеофіксації правопорушень в сфері забезпечення безпеки дорожнього руху (включаючи регулювання та налаштування)</w:t>
      </w:r>
      <w:r w:rsidR="00EE3649" w:rsidRPr="00EE3649">
        <w:rPr>
          <w:b w:val="0"/>
          <w:bCs w:val="0"/>
          <w:sz w:val="24"/>
          <w:szCs w:val="24"/>
        </w:rPr>
        <w:t xml:space="preserve"> за кодом CPV за ЄЗС ДК 021:2015 – 50410000-2 </w:t>
      </w:r>
      <w:r w:rsidR="00EE3649" w:rsidRPr="00EE3649">
        <w:rPr>
          <w:b w:val="0"/>
          <w:bCs w:val="0"/>
          <w:i/>
          <w:sz w:val="24"/>
          <w:szCs w:val="24"/>
        </w:rPr>
        <w:t>«</w:t>
      </w:r>
      <w:r w:rsidR="00EE3649" w:rsidRPr="00EE3649">
        <w:rPr>
          <w:b w:val="0"/>
          <w:bCs w:val="0"/>
          <w:sz w:val="24"/>
          <w:szCs w:val="24"/>
        </w:rPr>
        <w:t>Послуги з ремонту і технічного обслуговування вимірювальних, випробувальних і контрольних приладів»</w:t>
      </w:r>
    </w:p>
    <w:p w14:paraId="6BDB1674" w14:textId="46A4E7D8" w:rsidR="0086417F" w:rsidRPr="0086417F" w:rsidRDefault="0086417F" w:rsidP="0086417F">
      <w:pPr>
        <w:pStyle w:val="2"/>
        <w:shd w:val="clear" w:color="auto" w:fill="FFFFFF" w:themeFill="background1"/>
        <w:spacing w:before="0" w:beforeAutospacing="0" w:after="0" w:afterAutospacing="0"/>
        <w:jc w:val="both"/>
        <w:textAlignment w:val="baseline"/>
        <w:rPr>
          <w:b w:val="0"/>
          <w:bCs w:val="0"/>
          <w:sz w:val="24"/>
          <w:szCs w:val="24"/>
        </w:rPr>
      </w:pP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2E2AE0A8" w14:textId="77777777" w:rsidR="00F259BD" w:rsidRPr="00EE3649" w:rsidRDefault="00F259BD" w:rsidP="00EE3649">
      <w:pPr>
        <w:suppressAutoHyphens/>
        <w:spacing w:after="0" w:line="240" w:lineRule="auto"/>
        <w:ind w:hanging="567"/>
        <w:jc w:val="center"/>
        <w:rPr>
          <w:rFonts w:ascii="Times New Roman" w:hAnsi="Times New Roman" w:cs="Times New Roman"/>
          <w:b/>
          <w:sz w:val="24"/>
          <w:szCs w:val="24"/>
          <w:lang w:eastAsia="zh-CN"/>
        </w:rPr>
      </w:pPr>
      <w:r w:rsidRPr="00EE3649">
        <w:rPr>
          <w:rFonts w:ascii="Times New Roman" w:hAnsi="Times New Roman" w:cs="Times New Roman"/>
          <w:b/>
          <w:sz w:val="24"/>
          <w:szCs w:val="24"/>
          <w:lang w:eastAsia="zh-CN"/>
        </w:rPr>
        <w:t>ТЕХНІЧНІ ВИМОГИ</w:t>
      </w:r>
    </w:p>
    <w:p w14:paraId="6E425F57" w14:textId="77777777" w:rsidR="00EE3649" w:rsidRPr="00EE3649" w:rsidRDefault="00EE3649" w:rsidP="00EE3649">
      <w:pPr>
        <w:spacing w:line="240" w:lineRule="auto"/>
        <w:jc w:val="center"/>
        <w:rPr>
          <w:rFonts w:ascii="Times New Roman" w:eastAsia="Aptos" w:hAnsi="Times New Roman"/>
          <w:b/>
          <w:bCs/>
          <w:color w:val="000000"/>
          <w:kern w:val="2"/>
          <w:sz w:val="24"/>
          <w:szCs w:val="24"/>
          <w14:ligatures w14:val="standardContextual"/>
        </w:rPr>
      </w:pPr>
    </w:p>
    <w:tbl>
      <w:tblPr>
        <w:tblStyle w:val="TableNormal1"/>
        <w:tblW w:w="10064" w:type="dxa"/>
        <w:tblInd w:w="-150"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793"/>
        <w:gridCol w:w="1559"/>
        <w:gridCol w:w="1134"/>
      </w:tblGrid>
      <w:tr w:rsidR="00EE3649" w:rsidRPr="00EE3649" w14:paraId="6A1D19E9" w14:textId="77777777" w:rsidTr="00EE3649">
        <w:trPr>
          <w:trHeight w:val="1061"/>
        </w:trPr>
        <w:tc>
          <w:tcPr>
            <w:tcW w:w="578" w:type="dxa"/>
            <w:vAlign w:val="center"/>
          </w:tcPr>
          <w:p w14:paraId="03508F22" w14:textId="77777777" w:rsidR="00EE3649" w:rsidRPr="00EE3649" w:rsidRDefault="00EE3649" w:rsidP="00EE3649">
            <w:pPr>
              <w:jc w:val="center"/>
              <w:rPr>
                <w:b/>
                <w:bCs/>
                <w:sz w:val="24"/>
                <w:szCs w:val="24"/>
                <w:lang w:eastAsia="en-US"/>
              </w:rPr>
            </w:pPr>
            <w:bookmarkStart w:id="2" w:name="_Hlk183014805"/>
          </w:p>
          <w:p w14:paraId="448FCF03" w14:textId="77777777" w:rsidR="00EE3649" w:rsidRPr="00EE3649" w:rsidRDefault="00EE3649" w:rsidP="00EE3649">
            <w:pPr>
              <w:jc w:val="center"/>
              <w:rPr>
                <w:b/>
                <w:bCs/>
                <w:sz w:val="24"/>
                <w:szCs w:val="24"/>
                <w:lang w:eastAsia="en-US"/>
              </w:rPr>
            </w:pPr>
            <w:r w:rsidRPr="00EE3649">
              <w:rPr>
                <w:b/>
                <w:bCs/>
                <w:sz w:val="24"/>
                <w:szCs w:val="24"/>
                <w:lang w:eastAsia="en-US"/>
              </w:rPr>
              <w:t>№</w:t>
            </w:r>
          </w:p>
        </w:tc>
        <w:tc>
          <w:tcPr>
            <w:tcW w:w="6793" w:type="dxa"/>
            <w:vAlign w:val="center"/>
          </w:tcPr>
          <w:p w14:paraId="5C0580C1" w14:textId="77777777" w:rsidR="00EE3649" w:rsidRPr="00EE3649" w:rsidRDefault="00EE3649" w:rsidP="00EE3649">
            <w:pPr>
              <w:ind w:left="1596" w:right="1573"/>
              <w:jc w:val="center"/>
              <w:rPr>
                <w:b/>
                <w:bCs/>
                <w:sz w:val="24"/>
                <w:szCs w:val="24"/>
                <w:lang w:eastAsia="en-US"/>
              </w:rPr>
            </w:pPr>
            <w:r w:rsidRPr="00EE3649">
              <w:rPr>
                <w:b/>
                <w:bCs/>
                <w:sz w:val="24"/>
                <w:szCs w:val="24"/>
                <w:lang w:eastAsia="en-US"/>
              </w:rPr>
              <w:t>Назва товару</w:t>
            </w:r>
          </w:p>
        </w:tc>
        <w:tc>
          <w:tcPr>
            <w:tcW w:w="1559" w:type="dxa"/>
            <w:vAlign w:val="center"/>
          </w:tcPr>
          <w:p w14:paraId="5A2954B6" w14:textId="77777777" w:rsidR="00EE3649" w:rsidRPr="00EE3649" w:rsidRDefault="00EE3649" w:rsidP="00EE3649">
            <w:pPr>
              <w:jc w:val="center"/>
              <w:rPr>
                <w:b/>
                <w:bCs/>
                <w:sz w:val="24"/>
                <w:szCs w:val="24"/>
                <w:lang w:eastAsia="en-US"/>
              </w:rPr>
            </w:pPr>
            <w:r w:rsidRPr="00EE3649">
              <w:rPr>
                <w:b/>
                <w:bCs/>
                <w:sz w:val="24"/>
                <w:szCs w:val="24"/>
                <w:lang w:eastAsia="en-US"/>
              </w:rPr>
              <w:t>Од. виміру</w:t>
            </w:r>
          </w:p>
        </w:tc>
        <w:tc>
          <w:tcPr>
            <w:tcW w:w="1134" w:type="dxa"/>
          </w:tcPr>
          <w:p w14:paraId="7EA3B9D5" w14:textId="77777777" w:rsidR="00EE3649" w:rsidRPr="00EE3649" w:rsidRDefault="00EE3649" w:rsidP="00EE3649">
            <w:pPr>
              <w:jc w:val="center"/>
              <w:rPr>
                <w:b/>
                <w:bCs/>
                <w:sz w:val="24"/>
                <w:szCs w:val="24"/>
                <w:lang w:eastAsia="en-US"/>
              </w:rPr>
            </w:pPr>
            <w:r w:rsidRPr="00EE3649">
              <w:rPr>
                <w:b/>
                <w:bCs/>
                <w:sz w:val="24"/>
                <w:szCs w:val="24"/>
                <w:lang w:eastAsia="en-US"/>
              </w:rPr>
              <w:t>Кількість послуг</w:t>
            </w:r>
          </w:p>
        </w:tc>
      </w:tr>
      <w:tr w:rsidR="00EE3649" w:rsidRPr="00EE3649" w14:paraId="36C7CACB" w14:textId="77777777" w:rsidTr="00EE3649">
        <w:trPr>
          <w:trHeight w:val="709"/>
        </w:trPr>
        <w:tc>
          <w:tcPr>
            <w:tcW w:w="578" w:type="dxa"/>
            <w:vAlign w:val="center"/>
          </w:tcPr>
          <w:p w14:paraId="7977F175" w14:textId="77777777" w:rsidR="00EE3649" w:rsidRPr="00EE3649" w:rsidRDefault="00EE3649" w:rsidP="00EE3649">
            <w:pPr>
              <w:jc w:val="center"/>
              <w:rPr>
                <w:b/>
                <w:sz w:val="24"/>
                <w:szCs w:val="24"/>
                <w:lang w:eastAsia="en-US"/>
              </w:rPr>
            </w:pPr>
            <w:r w:rsidRPr="00EE3649">
              <w:rPr>
                <w:rFonts w:eastAsia="Calibri"/>
                <w:b/>
                <w:sz w:val="24"/>
                <w:szCs w:val="24"/>
              </w:rPr>
              <w:t>1</w:t>
            </w:r>
          </w:p>
        </w:tc>
        <w:tc>
          <w:tcPr>
            <w:tcW w:w="6793" w:type="dxa"/>
            <w:vAlign w:val="center"/>
          </w:tcPr>
          <w:p w14:paraId="09771257" w14:textId="77777777" w:rsidR="00EE3649" w:rsidRPr="00EE3649" w:rsidRDefault="00EE3649" w:rsidP="00EE3649">
            <w:pPr>
              <w:spacing w:before="11"/>
              <w:ind w:left="128"/>
              <w:rPr>
                <w:b/>
                <w:i/>
                <w:sz w:val="24"/>
                <w:szCs w:val="24"/>
                <w:lang w:eastAsia="en-US"/>
              </w:rPr>
            </w:pPr>
            <w:r w:rsidRPr="00EE3649">
              <w:rPr>
                <w:b/>
                <w:spacing w:val="1"/>
                <w:sz w:val="24"/>
                <w:szCs w:val="24"/>
              </w:rPr>
              <w:t>Повірка  комплексів автоматичної фото/відеофіксації правопорушень в сфері безпеки дорожнього руху (включаючи регулювання та налаштування)</w:t>
            </w:r>
          </w:p>
        </w:tc>
        <w:tc>
          <w:tcPr>
            <w:tcW w:w="1559" w:type="dxa"/>
            <w:vAlign w:val="center"/>
          </w:tcPr>
          <w:p w14:paraId="38073865" w14:textId="77777777" w:rsidR="00EE3649" w:rsidRPr="00EE3649" w:rsidRDefault="00EE3649" w:rsidP="00EE3649">
            <w:pPr>
              <w:ind w:left="122" w:right="62"/>
              <w:jc w:val="center"/>
              <w:rPr>
                <w:b/>
                <w:bCs/>
                <w:sz w:val="24"/>
                <w:szCs w:val="24"/>
                <w:lang w:eastAsia="en-US"/>
              </w:rPr>
            </w:pPr>
            <w:r w:rsidRPr="00EE3649">
              <w:rPr>
                <w:rFonts w:eastAsia="Calibri"/>
                <w:b/>
                <w:bCs/>
                <w:sz w:val="24"/>
                <w:szCs w:val="24"/>
              </w:rPr>
              <w:t>послуга</w:t>
            </w:r>
          </w:p>
        </w:tc>
        <w:tc>
          <w:tcPr>
            <w:tcW w:w="1134" w:type="dxa"/>
            <w:vAlign w:val="center"/>
          </w:tcPr>
          <w:p w14:paraId="080B5BA7" w14:textId="77777777" w:rsidR="00EE3649" w:rsidRPr="00EE3649" w:rsidRDefault="00EE3649" w:rsidP="00EE3649">
            <w:pPr>
              <w:spacing w:before="3"/>
              <w:jc w:val="center"/>
              <w:rPr>
                <w:b/>
                <w:bCs/>
                <w:sz w:val="24"/>
                <w:szCs w:val="24"/>
                <w:lang w:eastAsia="en-US"/>
              </w:rPr>
            </w:pPr>
            <w:r w:rsidRPr="00EE3649">
              <w:rPr>
                <w:rFonts w:eastAsia="Calibri"/>
                <w:b/>
                <w:bCs/>
                <w:sz w:val="24"/>
                <w:szCs w:val="24"/>
              </w:rPr>
              <w:t>400</w:t>
            </w:r>
          </w:p>
        </w:tc>
      </w:tr>
      <w:bookmarkEnd w:id="2"/>
    </w:tbl>
    <w:p w14:paraId="29BB9F45" w14:textId="77777777" w:rsidR="00EE3649" w:rsidRPr="00EE3649" w:rsidRDefault="00EE3649" w:rsidP="00EE3649">
      <w:pPr>
        <w:spacing w:line="240" w:lineRule="auto"/>
        <w:jc w:val="center"/>
        <w:rPr>
          <w:rFonts w:ascii="Times New Roman" w:hAnsi="Times New Roman"/>
          <w:bCs/>
          <w:sz w:val="24"/>
          <w:szCs w:val="24"/>
        </w:rPr>
      </w:pPr>
    </w:p>
    <w:p w14:paraId="1DD9E586" w14:textId="77777777" w:rsidR="00EE3649" w:rsidRPr="00EE3649" w:rsidRDefault="00EE3649" w:rsidP="00EE3649">
      <w:pPr>
        <w:spacing w:line="240" w:lineRule="auto"/>
        <w:jc w:val="center"/>
        <w:rPr>
          <w:rFonts w:ascii="Times New Roman" w:eastAsia="Aptos" w:hAnsi="Times New Roman"/>
          <w:b/>
          <w:bCs/>
          <w:color w:val="000000"/>
          <w:kern w:val="2"/>
          <w:sz w:val="24"/>
          <w:szCs w:val="24"/>
          <w14:ligatures w14:val="standardContextual"/>
        </w:rPr>
      </w:pPr>
      <w:r w:rsidRPr="00EE3649">
        <w:rPr>
          <w:rFonts w:ascii="Times New Roman" w:eastAsia="Aptos" w:hAnsi="Times New Roman"/>
          <w:b/>
          <w:bCs/>
          <w:color w:val="000000"/>
          <w:kern w:val="2"/>
          <w:sz w:val="24"/>
          <w:szCs w:val="24"/>
          <w14:ligatures w14:val="standardContextual"/>
        </w:rPr>
        <w:t>СПЕЦИФІКАЦІ ПОСЛУГ:</w:t>
      </w:r>
    </w:p>
    <w:p w14:paraId="7C4FEB05" w14:textId="77777777" w:rsidR="00EE3649" w:rsidRPr="00EE3649" w:rsidRDefault="00EE3649" w:rsidP="00EE3649">
      <w:pPr>
        <w:pStyle w:val="a3"/>
        <w:widowControl w:val="0"/>
        <w:numPr>
          <w:ilvl w:val="0"/>
          <w:numId w:val="38"/>
        </w:numPr>
        <w:suppressAutoHyphens w:val="0"/>
        <w:spacing w:after="0" w:line="240" w:lineRule="auto"/>
        <w:jc w:val="both"/>
        <w:rPr>
          <w:rFonts w:ascii="Times New Roman" w:hAnsi="Times New Roman"/>
          <w:sz w:val="24"/>
          <w:szCs w:val="24"/>
          <w:lang w:val="uk-UA"/>
        </w:rPr>
      </w:pPr>
      <w:r w:rsidRPr="00EE3649">
        <w:rPr>
          <w:rFonts w:ascii="Times New Roman" w:hAnsi="Times New Roman"/>
          <w:b/>
          <w:bCs/>
          <w:sz w:val="24"/>
          <w:szCs w:val="24"/>
          <w:lang w:val="uk-UA"/>
        </w:rPr>
        <w:t>Вимоги до якості послуг:</w:t>
      </w:r>
      <w:r w:rsidRPr="00EE3649">
        <w:rPr>
          <w:rFonts w:ascii="Times New Roman" w:hAnsi="Times New Roman"/>
          <w:sz w:val="24"/>
          <w:szCs w:val="24"/>
          <w:lang w:val="uk-UA"/>
        </w:rPr>
        <w:t xml:space="preserve">  </w:t>
      </w:r>
    </w:p>
    <w:p w14:paraId="20F81834"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Якість наданих Виконавцем Послуг з метрологічної повірки законодавчо регульованих засобів вимірювальної техніки повинна відповідати вимогам наступних документів:</w:t>
      </w:r>
    </w:p>
    <w:p w14:paraId="68C54041"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1) Закон України «Про метрологію та метрологічну діяльність» №1314-VII в редакції від 01.01.2022 р.</w:t>
      </w:r>
    </w:p>
    <w:p w14:paraId="723EF4BF"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2) Наказ Міністерства економічного розвитку і торгівлі України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від 08.02.2016 р. №193 в редакції від 03.05.2024 р.</w:t>
      </w:r>
    </w:p>
    <w:p w14:paraId="74403C3E"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lastRenderedPageBreak/>
        <w:t>3) ДСТУ 8809:2018 Метрологія. Прилади контролю за дотриманням правил дорожнього руху з функціями фото- і відеофіксації.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Метрологічні та технічні вимоги.</w:t>
      </w:r>
    </w:p>
    <w:p w14:paraId="5F541646"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 xml:space="preserve">4) Вимоги, яким повинні відповідати наукові метрологічні центри, державні підприємства, які належать до сфери управління Міністерства економіки України та провадять метрологічну діяльність, та повірочні лабораторії, які уповноважуються або уповноважені на проведення повірки засобів вимірювальної техніки, що перебувають в експлуатації та застосовуються у сфері законодавчо регульованої метрології, з метою досягнення їх відповідності встановленим критеріям, затверджені наказом </w:t>
      </w:r>
      <w:bookmarkStart w:id="3" w:name="_Hlk181885466"/>
      <w:r w:rsidRPr="00EE3649">
        <w:rPr>
          <w:rFonts w:ascii="Times New Roman" w:hAnsi="Times New Roman"/>
          <w:sz w:val="24"/>
          <w:szCs w:val="24"/>
        </w:rPr>
        <w:t>Міністерства економічного розвитку і торгівлі України від 30.06.2020 № 1242</w:t>
      </w:r>
      <w:bookmarkEnd w:id="3"/>
      <w:r w:rsidRPr="00EE3649">
        <w:rPr>
          <w:rFonts w:ascii="Times New Roman" w:hAnsi="Times New Roman"/>
          <w:sz w:val="24"/>
          <w:szCs w:val="24"/>
        </w:rPr>
        <w:t xml:space="preserve"> «Деякі питання щодо видачі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в редакції від 03.05.2024 р., зареєстрований у Міністерстві юстиції України 08.09.2020 за № 862/35145.</w:t>
      </w:r>
    </w:p>
    <w:p w14:paraId="37E77018"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5) Технічний регламент законодавчо регульованих засобів вимірювальної техніки, затверджений постановою Кабінету Міністрів України від 13.01.2016 №94 в редакції від 27.09.2024 р.</w:t>
      </w:r>
    </w:p>
    <w:p w14:paraId="44C41B71"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6) Порядок функціонування системи фіксації адміністративних правопорушень у сфері забезпечення безпеки дорожнього руху в автоматичному режимі, затверджений постановою Кабінету міністрів України від 10.11.2017 №833 «Про функціонування системи фіксації адміністративних правопорушень у сфері забезпечення безпеки дорожнього руху в автоматичному режимі» в редакції від 19.04.2022 р.</w:t>
      </w:r>
    </w:p>
    <w:p w14:paraId="325D85E8"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7) Міжповірочні інтервали законодавчо регульованих засобів вимірювальної техніки, що перебувають в експлуатації, за категоріями, затверджені наказом Міністерства економічного розвитку і торгівлі України від 13.10.2016 № 1747 «Про затвердження міжповірочних інтервалів законодавчо регульованих засобів вимірювальної техніки, що перебувають в експлуатації, за категоріями», зареєстрований у Міністерстві юстиції України 01.11.2016 за № 1417/29547, в редакції від 03.05.2024 р.</w:t>
      </w:r>
    </w:p>
    <w:p w14:paraId="48E6F68A" w14:textId="77777777" w:rsidR="00EE3649" w:rsidRPr="00EE3649" w:rsidRDefault="00EE3649" w:rsidP="00EE3649">
      <w:pPr>
        <w:spacing w:line="240" w:lineRule="auto"/>
        <w:ind w:firstLine="567"/>
        <w:jc w:val="both"/>
        <w:rPr>
          <w:rFonts w:ascii="Times New Roman" w:hAnsi="Times New Roman"/>
          <w:sz w:val="24"/>
          <w:szCs w:val="24"/>
        </w:rPr>
      </w:pPr>
    </w:p>
    <w:p w14:paraId="5F8CDD21"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Замовник у строк протягом 5 днів, з дня підписання договору, надсилає офіційним листом до Виконавця перелік місць розташування з координатами стаціонарних технічних засобів (приладів контролю).</w:t>
      </w:r>
    </w:p>
    <w:p w14:paraId="3A0C2264"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Інформація в переліку місць розташування з координатами стаціонарних технічних засобів (приладів контролю) не є остаточною, можливі зміни в залежності від потреби повірки на інших місцях розташування стаціонарних технічних засобів (приладів контролю) та/або тимчасової відсутності потреби в здійсненні повірки на зазначених місцях розташування з координатами стаціонарних технічних засобів (приладів контролю) через тимчасову непрацездатність стаціонарних технічних засобів (приладів контролю) та відсутності технічної можливості здійснити повірку. Замовник має змогу в робочому порядку звернутись до Виконавця задля внесення змін до переліку місць розташування з координатами стаціонарних технічних засобів (приладів контролю) за умови збереження кількості послуг зазначених в Договорі.</w:t>
      </w:r>
    </w:p>
    <w:p w14:paraId="7E902347"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 xml:space="preserve"> Результатом надання метрологічних послуг з повірки засобів вимірювальної техніки є свідоцтво про повірку та/або паспорт ЗВТ з відбитком тавра повірника, або довідка про непридатність ЗВТ до застосування.</w:t>
      </w:r>
    </w:p>
    <w:p w14:paraId="7AA64989"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 xml:space="preserve">Прийом наданих послуг оформлюється </w:t>
      </w:r>
      <w:r w:rsidRPr="00EE3649">
        <w:rPr>
          <w:rFonts w:ascii="Times New Roman" w:hAnsi="Times New Roman"/>
          <w:b/>
          <w:bCs/>
          <w:sz w:val="24"/>
          <w:szCs w:val="24"/>
          <w:u w:val="single"/>
        </w:rPr>
        <w:t>актом наданих послуг</w:t>
      </w:r>
      <w:r w:rsidRPr="00EE3649">
        <w:rPr>
          <w:rFonts w:ascii="Times New Roman" w:hAnsi="Times New Roman"/>
          <w:sz w:val="24"/>
          <w:szCs w:val="24"/>
        </w:rPr>
        <w:t xml:space="preserve">. Після проведення робіт з повірки Виконавець надає Замовнику сертифікати відповідності типу (Модуль F) або свідоцтва про повірку законодавчо регульованого засобу вимірювальної техніки не раніше ніж за місяць та не пізніше ніж за день до закінчення дійсного сертифікату відповідності типу </w:t>
      </w:r>
      <w:r w:rsidRPr="00EE3649">
        <w:rPr>
          <w:rFonts w:ascii="Times New Roman" w:hAnsi="Times New Roman"/>
          <w:sz w:val="24"/>
          <w:szCs w:val="24"/>
        </w:rPr>
        <w:lastRenderedPageBreak/>
        <w:t>(Модуль F) або свідоцтва про повірку законодавчо регульованого засобу вимірювальної техніки.</w:t>
      </w:r>
    </w:p>
    <w:p w14:paraId="585FF897" w14:textId="77777777" w:rsidR="00EE3649" w:rsidRPr="00EE3649" w:rsidRDefault="00EE3649" w:rsidP="00EE3649">
      <w:pPr>
        <w:spacing w:line="240" w:lineRule="auto"/>
        <w:ind w:firstLine="567"/>
        <w:jc w:val="both"/>
        <w:rPr>
          <w:rFonts w:ascii="Times New Roman" w:hAnsi="Times New Roman"/>
          <w:sz w:val="24"/>
          <w:szCs w:val="24"/>
        </w:rPr>
      </w:pPr>
      <w:r w:rsidRPr="00EE3649">
        <w:rPr>
          <w:rFonts w:ascii="Times New Roman" w:hAnsi="Times New Roman"/>
          <w:sz w:val="24"/>
          <w:szCs w:val="24"/>
        </w:rPr>
        <w:t>Строк надання послуг – до 25.12.2026 року.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964EB2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6 060 000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E3649">
        <w:rPr>
          <w:rFonts w:ascii="Times New Roman" w:eastAsia="Times New Roman" w:hAnsi="Times New Roman" w:cs="Times New Roman"/>
          <w:sz w:val="24"/>
          <w:szCs w:val="24"/>
          <w:lang w:eastAsia="ru-RU"/>
        </w:rPr>
        <w:t>шість мільйонів шістдесят тисяч</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6"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6"/>
  </w:num>
  <w:num w:numId="3" w16cid:durableId="556090777">
    <w:abstractNumId w:val="18"/>
  </w:num>
  <w:num w:numId="4" w16cid:durableId="1865628638">
    <w:abstractNumId w:val="24"/>
  </w:num>
  <w:num w:numId="5" w16cid:durableId="522862248">
    <w:abstractNumId w:val="30"/>
  </w:num>
  <w:num w:numId="6" w16cid:durableId="1128400551">
    <w:abstractNumId w:val="13"/>
  </w:num>
  <w:num w:numId="7" w16cid:durableId="1549879148">
    <w:abstractNumId w:val="21"/>
  </w:num>
  <w:num w:numId="8" w16cid:durableId="537087471">
    <w:abstractNumId w:val="29"/>
  </w:num>
  <w:num w:numId="9" w16cid:durableId="632519650">
    <w:abstractNumId w:val="37"/>
  </w:num>
  <w:num w:numId="10" w16cid:durableId="713892545">
    <w:abstractNumId w:val="33"/>
  </w:num>
  <w:num w:numId="11" w16cid:durableId="2031645203">
    <w:abstractNumId w:val="11"/>
  </w:num>
  <w:num w:numId="12" w16cid:durableId="1392928292">
    <w:abstractNumId w:val="16"/>
  </w:num>
  <w:num w:numId="13" w16cid:durableId="502626488">
    <w:abstractNumId w:val="34"/>
  </w:num>
  <w:num w:numId="14" w16cid:durableId="1996909732">
    <w:abstractNumId w:val="32"/>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7"/>
  </w:num>
  <w:num w:numId="26" w16cid:durableId="83501982">
    <w:abstractNumId w:val="20"/>
  </w:num>
  <w:num w:numId="27" w16cid:durableId="897714752">
    <w:abstractNumId w:val="35"/>
  </w:num>
  <w:num w:numId="28" w16cid:durableId="1340739716">
    <w:abstractNumId w:val="28"/>
  </w:num>
  <w:num w:numId="29" w16cid:durableId="1303923221">
    <w:abstractNumId w:val="9"/>
  </w:num>
  <w:num w:numId="30" w16cid:durableId="563369717">
    <w:abstractNumId w:val="7"/>
  </w:num>
  <w:num w:numId="31" w16cid:durableId="1640304287">
    <w:abstractNumId w:val="25"/>
  </w:num>
  <w:num w:numId="32" w16cid:durableId="992947525">
    <w:abstractNumId w:val="31"/>
  </w:num>
  <w:num w:numId="33" w16cid:durableId="517935318">
    <w:abstractNumId w:val="19"/>
  </w:num>
  <w:num w:numId="34" w16cid:durableId="165441230">
    <w:abstractNumId w:val="10"/>
  </w:num>
  <w:num w:numId="35" w16cid:durableId="2119257652">
    <w:abstractNumId w:val="36"/>
  </w:num>
  <w:num w:numId="36" w16cid:durableId="1737513576">
    <w:abstractNumId w:val="27"/>
  </w:num>
  <w:num w:numId="37" w16cid:durableId="856384292">
    <w:abstractNumId w:val="12"/>
  </w:num>
  <w:num w:numId="38" w16cid:durableId="65969410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62993"/>
    <w:rsid w:val="00E62C9F"/>
    <w:rsid w:val="00E80A48"/>
    <w:rsid w:val="00EA5532"/>
    <w:rsid w:val="00ED61FD"/>
    <w:rsid w:val="00EE3649"/>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936</Words>
  <Characters>6805</Characters>
  <Application>Microsoft Office Word</Application>
  <DocSecurity>0</DocSecurity>
  <Lines>136</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