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1A6AE6F0" w:rsidR="00E1484E" w:rsidRPr="00E854C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854CB" w:rsidRPr="00E854CB">
        <w:rPr>
          <w:b w:val="0"/>
          <w:bCs w:val="0"/>
          <w:sz w:val="24"/>
          <w:szCs w:val="24"/>
        </w:rPr>
        <w:t>Закупівля дезінфекційних засобів за кодом CPV за ЄЗС ДК 021:2015 24450000-3 Агрохімічна продукція (24455000-8 Дезінфекційні засоби)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7117381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BF5F08">
        <w:rPr>
          <w:rFonts w:ascii="Times New Roman" w:hAnsi="Times New Roman" w:cs="Times New Roman"/>
          <w:sz w:val="24"/>
          <w:szCs w:val="24"/>
        </w:rPr>
        <w:t>29</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w:t>
      </w:r>
      <w:r w:rsidR="00E854CB">
        <w:rPr>
          <w:rFonts w:ascii="Times New Roman" w:hAnsi="Times New Roman" w:cs="Times New Roman"/>
          <w:sz w:val="24"/>
          <w:szCs w:val="24"/>
        </w:rPr>
        <w:t>4204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36E919AB" w14:textId="77777777" w:rsidR="00E854CB" w:rsidRPr="00E854CB" w:rsidRDefault="009D1AE9" w:rsidP="00E854CB">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E854CB" w:rsidRPr="00E854CB">
        <w:rPr>
          <w:b w:val="0"/>
          <w:bCs w:val="0"/>
          <w:sz w:val="24"/>
          <w:szCs w:val="24"/>
        </w:rPr>
        <w:t>Закупівля дезінфекційних засобів за кодом CPV за ЄЗС ДК 021:2015 24450000-3 Агрохімічна продукція (24455000-8 Дезінфекційні засоби)</w:t>
      </w:r>
    </w:p>
    <w:p w14:paraId="7FD950FC" w14:textId="278A78EF" w:rsidR="001C06BF" w:rsidRPr="00EE3649" w:rsidRDefault="001C06BF" w:rsidP="001C06BF">
      <w:pPr>
        <w:pStyle w:val="2"/>
        <w:shd w:val="clear" w:color="auto" w:fill="FFFFFF" w:themeFill="background1"/>
        <w:spacing w:before="0" w:beforeAutospacing="0" w:after="0" w:afterAutospacing="0"/>
        <w:jc w:val="both"/>
        <w:textAlignment w:val="baseline"/>
        <w:rPr>
          <w:b w:val="0"/>
          <w:bCs w:val="0"/>
          <w:sz w:val="24"/>
          <w:szCs w:val="24"/>
        </w:rPr>
      </w:pPr>
    </w:p>
    <w:p w14:paraId="6F2BFFE4" w14:textId="77777777" w:rsidR="00E854CB" w:rsidRPr="00E854CB" w:rsidRDefault="00E854CB" w:rsidP="00E854CB">
      <w:pPr>
        <w:spacing w:after="0" w:line="240" w:lineRule="auto"/>
        <w:ind w:firstLine="357"/>
        <w:jc w:val="center"/>
        <w:rPr>
          <w:rFonts w:ascii="Times New Roman" w:hAnsi="Times New Roman" w:cs="Times New Roman"/>
          <w:b/>
          <w:color w:val="000000"/>
          <w:sz w:val="24"/>
          <w:szCs w:val="24"/>
        </w:rPr>
      </w:pPr>
      <w:bookmarkStart w:id="0" w:name="_Hlk182212505"/>
      <w:r w:rsidRPr="00E854CB">
        <w:rPr>
          <w:rFonts w:ascii="Times New Roman" w:hAnsi="Times New Roman" w:cs="Times New Roman"/>
          <w:b/>
          <w:color w:val="000000"/>
          <w:sz w:val="24"/>
          <w:szCs w:val="24"/>
        </w:rPr>
        <w:t>ТЕХНІЧНІ ВИМОГИ</w:t>
      </w:r>
    </w:p>
    <w:p w14:paraId="0604C292" w14:textId="77777777" w:rsidR="00E854CB" w:rsidRPr="00E854CB" w:rsidRDefault="00E854CB" w:rsidP="00E854CB">
      <w:pPr>
        <w:spacing w:after="0" w:line="240" w:lineRule="auto"/>
        <w:ind w:firstLine="357"/>
        <w:jc w:val="center"/>
        <w:rPr>
          <w:rFonts w:ascii="Times New Roman" w:hAnsi="Times New Roman" w:cs="Times New Roman"/>
          <w:b/>
          <w:color w:val="000000"/>
          <w:sz w:val="24"/>
          <w:szCs w:val="24"/>
        </w:rPr>
      </w:pPr>
    </w:p>
    <w:tbl>
      <w:tblPr>
        <w:tblW w:w="9531" w:type="dxa"/>
        <w:tblInd w:w="103" w:type="dxa"/>
        <w:tblLayout w:type="fixed"/>
        <w:tblLook w:val="04A0" w:firstRow="1" w:lastRow="0" w:firstColumn="1" w:lastColumn="0" w:noHBand="0" w:noVBand="1"/>
      </w:tblPr>
      <w:tblGrid>
        <w:gridCol w:w="601"/>
        <w:gridCol w:w="5954"/>
        <w:gridCol w:w="1417"/>
        <w:gridCol w:w="1559"/>
      </w:tblGrid>
      <w:tr w:rsidR="00E854CB" w:rsidRPr="00E854CB" w14:paraId="1BD7F59E" w14:textId="77777777" w:rsidTr="00156D7F">
        <w:trPr>
          <w:trHeight w:val="708"/>
        </w:trPr>
        <w:tc>
          <w:tcPr>
            <w:tcW w:w="601" w:type="dxa"/>
            <w:tcBorders>
              <w:top w:val="single" w:sz="4" w:space="0" w:color="000000"/>
              <w:left w:val="single" w:sz="4" w:space="0" w:color="000000"/>
              <w:bottom w:val="single" w:sz="4" w:space="0" w:color="000000"/>
              <w:right w:val="single" w:sz="4" w:space="0" w:color="000000"/>
            </w:tcBorders>
          </w:tcPr>
          <w:p w14:paraId="7FA90E83" w14:textId="77777777" w:rsidR="00E854CB" w:rsidRPr="00E854CB" w:rsidRDefault="00E854CB" w:rsidP="00E854CB">
            <w:pPr>
              <w:suppressAutoHyphens/>
              <w:spacing w:after="0" w:line="240" w:lineRule="auto"/>
              <w:contextualSpacing/>
              <w:jc w:val="center"/>
              <w:rPr>
                <w:rFonts w:ascii="Times New Roman" w:hAnsi="Times New Roman" w:cs="Times New Roman"/>
                <w:b/>
                <w:bCs/>
                <w:sz w:val="24"/>
                <w:szCs w:val="24"/>
              </w:rPr>
            </w:pPr>
            <w:r w:rsidRPr="00E854CB">
              <w:rPr>
                <w:rFonts w:ascii="Times New Roman" w:eastAsia="Aptos" w:hAnsi="Times New Roman" w:cs="Times New Roman"/>
                <w:b/>
                <w:bCs/>
                <w:sz w:val="24"/>
                <w:szCs w:val="24"/>
              </w:rPr>
              <w:t>№ з/п</w:t>
            </w:r>
          </w:p>
        </w:tc>
        <w:tc>
          <w:tcPr>
            <w:tcW w:w="5954" w:type="dxa"/>
            <w:tcBorders>
              <w:top w:val="single" w:sz="4" w:space="0" w:color="000000"/>
              <w:left w:val="single" w:sz="4" w:space="0" w:color="000000"/>
              <w:bottom w:val="single" w:sz="4" w:space="0" w:color="000000"/>
              <w:right w:val="single" w:sz="4" w:space="0" w:color="000000"/>
            </w:tcBorders>
          </w:tcPr>
          <w:p w14:paraId="139EAFA1" w14:textId="77777777" w:rsidR="00E854CB" w:rsidRPr="00E854CB" w:rsidRDefault="00E854CB" w:rsidP="00E854CB">
            <w:pPr>
              <w:suppressAutoHyphens/>
              <w:spacing w:after="0" w:line="240" w:lineRule="auto"/>
              <w:contextualSpacing/>
              <w:jc w:val="center"/>
              <w:rPr>
                <w:rFonts w:ascii="Times New Roman" w:eastAsia="Aptos" w:hAnsi="Times New Roman" w:cs="Times New Roman"/>
                <w:b/>
                <w:bCs/>
                <w:sz w:val="24"/>
                <w:szCs w:val="24"/>
              </w:rPr>
            </w:pPr>
          </w:p>
          <w:p w14:paraId="49C466AA" w14:textId="77777777" w:rsidR="00E854CB" w:rsidRPr="00E854CB" w:rsidRDefault="00E854CB" w:rsidP="00E854CB">
            <w:pPr>
              <w:suppressAutoHyphens/>
              <w:spacing w:after="0" w:line="240" w:lineRule="auto"/>
              <w:contextualSpacing/>
              <w:jc w:val="center"/>
              <w:rPr>
                <w:rFonts w:ascii="Times New Roman" w:hAnsi="Times New Roman" w:cs="Times New Roman"/>
                <w:b/>
                <w:bCs/>
                <w:sz w:val="24"/>
                <w:szCs w:val="24"/>
              </w:rPr>
            </w:pPr>
            <w:r w:rsidRPr="00E854CB">
              <w:rPr>
                <w:rFonts w:ascii="Times New Roman" w:eastAsia="Aptos" w:hAnsi="Times New Roman" w:cs="Times New Roman"/>
                <w:b/>
                <w:bCs/>
                <w:sz w:val="24"/>
                <w:szCs w:val="24"/>
              </w:rPr>
              <w:t>Назва товару</w:t>
            </w:r>
          </w:p>
        </w:tc>
        <w:tc>
          <w:tcPr>
            <w:tcW w:w="1417" w:type="dxa"/>
            <w:tcBorders>
              <w:top w:val="single" w:sz="4" w:space="0" w:color="000000"/>
              <w:left w:val="single" w:sz="4" w:space="0" w:color="000000"/>
              <w:bottom w:val="single" w:sz="4" w:space="0" w:color="000000"/>
              <w:right w:val="single" w:sz="4" w:space="0" w:color="000000"/>
            </w:tcBorders>
          </w:tcPr>
          <w:p w14:paraId="0EA363EC" w14:textId="77777777" w:rsidR="00E854CB" w:rsidRPr="00E854CB" w:rsidRDefault="00E854CB" w:rsidP="00E854CB">
            <w:pPr>
              <w:suppressAutoHyphens/>
              <w:spacing w:after="0" w:line="240" w:lineRule="auto"/>
              <w:contextualSpacing/>
              <w:jc w:val="center"/>
              <w:rPr>
                <w:rFonts w:ascii="Times New Roman" w:hAnsi="Times New Roman" w:cs="Times New Roman"/>
                <w:b/>
                <w:bCs/>
                <w:sz w:val="24"/>
                <w:szCs w:val="24"/>
              </w:rPr>
            </w:pPr>
            <w:r w:rsidRPr="00E854CB">
              <w:rPr>
                <w:rFonts w:ascii="Times New Roman" w:eastAsia="Aptos" w:hAnsi="Times New Roman" w:cs="Times New Roman"/>
                <w:b/>
                <w:bCs/>
                <w:sz w:val="24"/>
                <w:szCs w:val="24"/>
              </w:rPr>
              <w:t>Одиниця виміру</w:t>
            </w:r>
          </w:p>
        </w:tc>
        <w:tc>
          <w:tcPr>
            <w:tcW w:w="1559" w:type="dxa"/>
            <w:tcBorders>
              <w:top w:val="single" w:sz="4" w:space="0" w:color="000000"/>
              <w:left w:val="single" w:sz="4" w:space="0" w:color="000000"/>
              <w:bottom w:val="single" w:sz="4" w:space="0" w:color="000000"/>
              <w:right w:val="single" w:sz="4" w:space="0" w:color="000000"/>
            </w:tcBorders>
          </w:tcPr>
          <w:p w14:paraId="2D3D183F" w14:textId="77777777" w:rsidR="00E854CB" w:rsidRPr="00E854CB" w:rsidRDefault="00E854CB" w:rsidP="00E854CB">
            <w:pPr>
              <w:suppressAutoHyphens/>
              <w:spacing w:after="0" w:line="240" w:lineRule="auto"/>
              <w:contextualSpacing/>
              <w:jc w:val="center"/>
              <w:rPr>
                <w:rFonts w:ascii="Times New Roman" w:hAnsi="Times New Roman" w:cs="Times New Roman"/>
                <w:b/>
                <w:bCs/>
                <w:sz w:val="24"/>
                <w:szCs w:val="24"/>
              </w:rPr>
            </w:pPr>
            <w:r w:rsidRPr="00E854CB">
              <w:rPr>
                <w:rFonts w:ascii="Times New Roman" w:eastAsia="Aptos" w:hAnsi="Times New Roman" w:cs="Times New Roman"/>
                <w:b/>
                <w:bCs/>
                <w:sz w:val="24"/>
                <w:szCs w:val="24"/>
              </w:rPr>
              <w:t>Кількість</w:t>
            </w:r>
          </w:p>
        </w:tc>
      </w:tr>
      <w:tr w:rsidR="00E854CB" w:rsidRPr="00E854CB" w14:paraId="5CDE3671" w14:textId="77777777" w:rsidTr="00156D7F">
        <w:trPr>
          <w:trHeight w:val="549"/>
        </w:trPr>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F661E0" w14:textId="77777777" w:rsidR="00E854CB" w:rsidRPr="00E854CB" w:rsidRDefault="00E854CB" w:rsidP="00E854CB">
            <w:pPr>
              <w:suppressAutoHyphens/>
              <w:spacing w:after="0" w:line="240" w:lineRule="auto"/>
              <w:contextualSpacing/>
              <w:jc w:val="both"/>
              <w:rPr>
                <w:rFonts w:ascii="Times New Roman" w:hAnsi="Times New Roman" w:cs="Times New Roman"/>
                <w:sz w:val="24"/>
                <w:szCs w:val="24"/>
              </w:rPr>
            </w:pPr>
            <w:r w:rsidRPr="00E854CB">
              <w:rPr>
                <w:rFonts w:ascii="Times New Roman" w:eastAsia="Aptos" w:hAnsi="Times New Roman" w:cs="Times New Roman"/>
                <w:sz w:val="24"/>
                <w:szCs w:val="24"/>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15A00B" w14:textId="77777777" w:rsidR="00E854CB" w:rsidRPr="00E854CB" w:rsidRDefault="00E854CB" w:rsidP="00E854CB">
            <w:pPr>
              <w:suppressAutoHyphens/>
              <w:spacing w:after="0" w:line="240" w:lineRule="auto"/>
              <w:contextualSpacing/>
              <w:jc w:val="both"/>
              <w:rPr>
                <w:rFonts w:ascii="Times New Roman" w:eastAsia="Calibri" w:hAnsi="Times New Roman" w:cs="Times New Roman"/>
                <w:sz w:val="24"/>
                <w:szCs w:val="24"/>
              </w:rPr>
            </w:pPr>
            <w:r w:rsidRPr="00E854CB">
              <w:rPr>
                <w:rFonts w:ascii="Times New Roman" w:eastAsia="Calibri" w:hAnsi="Times New Roman" w:cs="Times New Roman"/>
                <w:sz w:val="24"/>
                <w:szCs w:val="24"/>
              </w:rPr>
              <w:t>Засіб для дезінфекції поверхонь, 5 л</w:t>
            </w:r>
          </w:p>
        </w:tc>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A9C5BF" w14:textId="77777777" w:rsidR="00E854CB" w:rsidRPr="00E854CB" w:rsidRDefault="00E854CB" w:rsidP="00E854CB">
            <w:pPr>
              <w:suppressAutoHyphens/>
              <w:spacing w:after="0" w:line="240" w:lineRule="auto"/>
              <w:contextualSpacing/>
              <w:jc w:val="center"/>
              <w:rPr>
                <w:rFonts w:ascii="Times New Roman" w:hAnsi="Times New Roman" w:cs="Times New Roman"/>
                <w:sz w:val="24"/>
                <w:szCs w:val="24"/>
              </w:rPr>
            </w:pPr>
            <w:r w:rsidRPr="00E854CB">
              <w:rPr>
                <w:rFonts w:ascii="Times New Roman" w:eastAsia="Aptos" w:hAnsi="Times New Roman" w:cs="Times New Roman"/>
                <w:sz w:val="24"/>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14250C" w14:textId="77777777" w:rsidR="00E854CB" w:rsidRPr="00E854CB" w:rsidRDefault="00E854CB" w:rsidP="00E854CB">
            <w:pPr>
              <w:suppressAutoHyphens/>
              <w:spacing w:after="0" w:line="240" w:lineRule="auto"/>
              <w:contextualSpacing/>
              <w:jc w:val="center"/>
              <w:rPr>
                <w:rFonts w:ascii="Times New Roman" w:hAnsi="Times New Roman" w:cs="Times New Roman"/>
                <w:sz w:val="24"/>
                <w:szCs w:val="24"/>
              </w:rPr>
            </w:pPr>
            <w:r w:rsidRPr="00E854CB">
              <w:rPr>
                <w:rFonts w:ascii="Times New Roman" w:hAnsi="Times New Roman" w:cs="Times New Roman"/>
                <w:sz w:val="24"/>
                <w:szCs w:val="24"/>
              </w:rPr>
              <w:t>90</w:t>
            </w:r>
          </w:p>
        </w:tc>
      </w:tr>
      <w:tr w:rsidR="00E854CB" w:rsidRPr="00E854CB" w14:paraId="163DDF35" w14:textId="77777777" w:rsidTr="00156D7F">
        <w:trPr>
          <w:trHeight w:val="556"/>
        </w:trPr>
        <w:tc>
          <w:tcPr>
            <w:tcW w:w="601" w:type="dxa"/>
            <w:tcBorders>
              <w:top w:val="single" w:sz="4" w:space="0" w:color="000000"/>
              <w:left w:val="single" w:sz="4" w:space="0" w:color="000000"/>
              <w:bottom w:val="single" w:sz="4" w:space="0" w:color="000000"/>
              <w:right w:val="single" w:sz="4" w:space="0" w:color="000000"/>
            </w:tcBorders>
            <w:vAlign w:val="center"/>
          </w:tcPr>
          <w:p w14:paraId="53DB7B45" w14:textId="77777777" w:rsidR="00E854CB" w:rsidRPr="00E854CB" w:rsidRDefault="00E854CB" w:rsidP="00E854CB">
            <w:pPr>
              <w:suppressAutoHyphens/>
              <w:spacing w:after="0" w:line="240" w:lineRule="auto"/>
              <w:contextualSpacing/>
              <w:jc w:val="both"/>
              <w:rPr>
                <w:rFonts w:ascii="Times New Roman" w:hAnsi="Times New Roman" w:cs="Times New Roman"/>
                <w:sz w:val="24"/>
                <w:szCs w:val="24"/>
              </w:rPr>
            </w:pPr>
            <w:r w:rsidRPr="00E854CB">
              <w:rPr>
                <w:rFonts w:ascii="Times New Roman" w:eastAsia="Aptos" w:hAnsi="Times New Roman" w:cs="Times New Roman"/>
                <w:sz w:val="24"/>
                <w:szCs w:val="24"/>
              </w:rPr>
              <w:t>2.</w:t>
            </w:r>
          </w:p>
        </w:tc>
        <w:tc>
          <w:tcPr>
            <w:tcW w:w="5954" w:type="dxa"/>
            <w:tcBorders>
              <w:top w:val="single" w:sz="4" w:space="0" w:color="000000"/>
              <w:left w:val="single" w:sz="4" w:space="0" w:color="000000"/>
              <w:bottom w:val="single" w:sz="4" w:space="0" w:color="000000"/>
              <w:right w:val="single" w:sz="4" w:space="0" w:color="000000"/>
            </w:tcBorders>
            <w:vAlign w:val="center"/>
          </w:tcPr>
          <w:p w14:paraId="2614E753" w14:textId="77777777" w:rsidR="00E854CB" w:rsidRPr="00E854CB" w:rsidRDefault="00E854CB" w:rsidP="00E854CB">
            <w:pPr>
              <w:suppressAutoHyphens/>
              <w:spacing w:after="0" w:line="240" w:lineRule="auto"/>
              <w:contextualSpacing/>
              <w:jc w:val="both"/>
              <w:rPr>
                <w:rFonts w:ascii="Times New Roman" w:eastAsia="Calibri" w:hAnsi="Times New Roman" w:cs="Times New Roman"/>
                <w:sz w:val="24"/>
                <w:szCs w:val="24"/>
              </w:rPr>
            </w:pPr>
            <w:r w:rsidRPr="00E854CB">
              <w:rPr>
                <w:rFonts w:ascii="Times New Roman" w:eastAsia="Calibri" w:hAnsi="Times New Roman" w:cs="Times New Roman"/>
                <w:sz w:val="24"/>
                <w:szCs w:val="24"/>
              </w:rPr>
              <w:t>Санітайзер для рук, 1 л</w:t>
            </w:r>
          </w:p>
        </w:tc>
        <w:tc>
          <w:tcPr>
            <w:tcW w:w="1417" w:type="dxa"/>
            <w:tcBorders>
              <w:top w:val="single" w:sz="4" w:space="0" w:color="000000"/>
              <w:left w:val="single" w:sz="4" w:space="0" w:color="000000"/>
              <w:bottom w:val="single" w:sz="4" w:space="0" w:color="000000"/>
              <w:right w:val="single" w:sz="4" w:space="0" w:color="000000"/>
            </w:tcBorders>
            <w:vAlign w:val="center"/>
          </w:tcPr>
          <w:p w14:paraId="0AFB2C27" w14:textId="77777777" w:rsidR="00E854CB" w:rsidRPr="00E854CB" w:rsidRDefault="00E854CB" w:rsidP="00E854CB">
            <w:pPr>
              <w:suppressAutoHyphens/>
              <w:spacing w:after="0" w:line="240" w:lineRule="auto"/>
              <w:contextualSpacing/>
              <w:jc w:val="center"/>
              <w:rPr>
                <w:rFonts w:ascii="Times New Roman" w:hAnsi="Times New Roman" w:cs="Times New Roman"/>
                <w:sz w:val="24"/>
                <w:szCs w:val="24"/>
              </w:rPr>
            </w:pPr>
            <w:r w:rsidRPr="00E854CB">
              <w:rPr>
                <w:rFonts w:ascii="Times New Roman" w:eastAsia="Aptos" w:hAnsi="Times New Roman" w:cs="Times New Roman"/>
                <w:sz w:val="24"/>
                <w:szCs w:val="24"/>
              </w:rPr>
              <w:t>шт.</w:t>
            </w:r>
          </w:p>
        </w:tc>
        <w:tc>
          <w:tcPr>
            <w:tcW w:w="1559" w:type="dxa"/>
            <w:tcBorders>
              <w:top w:val="single" w:sz="4" w:space="0" w:color="000000"/>
              <w:left w:val="single" w:sz="4" w:space="0" w:color="000000"/>
              <w:bottom w:val="single" w:sz="4" w:space="0" w:color="000000"/>
              <w:right w:val="single" w:sz="4" w:space="0" w:color="000000"/>
            </w:tcBorders>
            <w:vAlign w:val="center"/>
          </w:tcPr>
          <w:p w14:paraId="60D99534" w14:textId="77777777" w:rsidR="00E854CB" w:rsidRPr="00E854CB" w:rsidRDefault="00E854CB" w:rsidP="00E854CB">
            <w:pPr>
              <w:suppressAutoHyphens/>
              <w:spacing w:after="0" w:line="240" w:lineRule="auto"/>
              <w:contextualSpacing/>
              <w:jc w:val="center"/>
              <w:rPr>
                <w:rFonts w:ascii="Times New Roman" w:hAnsi="Times New Roman" w:cs="Times New Roman"/>
                <w:sz w:val="24"/>
                <w:szCs w:val="24"/>
              </w:rPr>
            </w:pPr>
            <w:r w:rsidRPr="00E854CB">
              <w:rPr>
                <w:rFonts w:ascii="Times New Roman" w:hAnsi="Times New Roman" w:cs="Times New Roman"/>
                <w:sz w:val="24"/>
                <w:szCs w:val="24"/>
              </w:rPr>
              <w:t>100</w:t>
            </w:r>
          </w:p>
        </w:tc>
      </w:tr>
    </w:tbl>
    <w:p w14:paraId="5EA8BCA2" w14:textId="77777777" w:rsidR="00E854CB" w:rsidRPr="00E854CB" w:rsidRDefault="00E854CB" w:rsidP="00E854CB">
      <w:pPr>
        <w:spacing w:after="0" w:line="240" w:lineRule="auto"/>
        <w:ind w:firstLine="357"/>
        <w:jc w:val="center"/>
        <w:rPr>
          <w:rFonts w:ascii="Times New Roman" w:hAnsi="Times New Roman" w:cs="Times New Roman"/>
          <w:b/>
          <w:color w:val="000000"/>
          <w:sz w:val="24"/>
          <w:szCs w:val="24"/>
        </w:rPr>
      </w:pPr>
    </w:p>
    <w:p w14:paraId="0A597E87" w14:textId="77777777" w:rsidR="00E854CB" w:rsidRPr="00E854CB" w:rsidRDefault="00E854CB" w:rsidP="00E854CB">
      <w:pPr>
        <w:spacing w:after="0" w:line="240" w:lineRule="auto"/>
        <w:ind w:firstLine="357"/>
        <w:jc w:val="center"/>
        <w:rPr>
          <w:rFonts w:ascii="Times New Roman" w:hAnsi="Times New Roman" w:cs="Times New Roman"/>
          <w:b/>
          <w:color w:val="000000"/>
          <w:sz w:val="24"/>
          <w:szCs w:val="24"/>
        </w:rPr>
      </w:pPr>
    </w:p>
    <w:p w14:paraId="2657B532" w14:textId="77777777" w:rsidR="00E854CB" w:rsidRPr="00E854CB" w:rsidRDefault="00E854CB" w:rsidP="00E854CB">
      <w:pPr>
        <w:pStyle w:val="a6"/>
        <w:spacing w:after="0" w:line="240" w:lineRule="auto"/>
        <w:jc w:val="both"/>
        <w:rPr>
          <w:b/>
          <w:bCs/>
          <w:i/>
          <w:iCs/>
        </w:rPr>
      </w:pPr>
      <w:bookmarkStart w:id="1" w:name="_Hlk217644891"/>
      <w:r w:rsidRPr="00E854CB">
        <w:rPr>
          <w:b/>
          <w:bCs/>
          <w:i/>
          <w:iCs/>
          <w:lang w:eastAsia="ru-RU"/>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Договору до моменту його повного завершення</w:t>
      </w:r>
      <w:r w:rsidRPr="00E854CB">
        <w:rPr>
          <w:b/>
          <w:bCs/>
          <w:i/>
          <w:iCs/>
        </w:rPr>
        <w:t>.</w:t>
      </w:r>
    </w:p>
    <w:p w14:paraId="0DCF02D4" w14:textId="77777777" w:rsidR="00E854CB" w:rsidRPr="00E854CB" w:rsidRDefault="00E854CB" w:rsidP="00E854CB">
      <w:pPr>
        <w:pStyle w:val="a6"/>
        <w:spacing w:after="0" w:line="240" w:lineRule="auto"/>
        <w:jc w:val="both"/>
        <w:rPr>
          <w:b/>
          <w:bCs/>
          <w:i/>
          <w:iCs/>
        </w:rPr>
      </w:pPr>
    </w:p>
    <w:p w14:paraId="59AC3350" w14:textId="77777777" w:rsidR="00E854CB" w:rsidRPr="00E854CB" w:rsidRDefault="00E854CB" w:rsidP="00E854CB">
      <w:pPr>
        <w:suppressAutoHyphens/>
        <w:spacing w:after="0" w:line="240" w:lineRule="auto"/>
        <w:ind w:right="282"/>
        <w:jc w:val="center"/>
        <w:rPr>
          <w:rFonts w:ascii="Times New Roman" w:hAnsi="Times New Roman" w:cs="Times New Roman"/>
          <w:b/>
          <w:bCs/>
          <w:sz w:val="24"/>
          <w:szCs w:val="24"/>
        </w:rPr>
      </w:pPr>
      <w:r w:rsidRPr="00E854CB">
        <w:rPr>
          <w:rFonts w:ascii="Times New Roman" w:hAnsi="Times New Roman" w:cs="Times New Roman"/>
          <w:b/>
          <w:bCs/>
          <w:sz w:val="24"/>
          <w:szCs w:val="24"/>
        </w:rPr>
        <w:t>Специфікація товару</w:t>
      </w:r>
    </w:p>
    <w:p w14:paraId="3E397C06" w14:textId="77777777" w:rsidR="00E854CB" w:rsidRPr="00E854CB" w:rsidRDefault="00E854CB" w:rsidP="00E854CB">
      <w:pPr>
        <w:pStyle w:val="a6"/>
        <w:spacing w:after="0" w:line="240" w:lineRule="auto"/>
        <w:jc w:val="both"/>
        <w:rPr>
          <w:b/>
          <w:bCs/>
          <w:i/>
          <w:iCs/>
          <w:lang w:eastAsia="ru-RU"/>
        </w:rPr>
      </w:pPr>
    </w:p>
    <w:tbl>
      <w:tblPr>
        <w:tblW w:w="9248" w:type="dxa"/>
        <w:tblInd w:w="103" w:type="dxa"/>
        <w:tblLayout w:type="fixed"/>
        <w:tblLook w:val="04A0" w:firstRow="1" w:lastRow="0" w:firstColumn="1" w:lastColumn="0" w:noHBand="0" w:noVBand="1"/>
      </w:tblPr>
      <w:tblGrid>
        <w:gridCol w:w="601"/>
        <w:gridCol w:w="5954"/>
        <w:gridCol w:w="1276"/>
        <w:gridCol w:w="1417"/>
      </w:tblGrid>
      <w:tr w:rsidR="00E854CB" w:rsidRPr="00E854CB" w14:paraId="7F51A1E4" w14:textId="77777777" w:rsidTr="00156D7F">
        <w:trPr>
          <w:trHeight w:val="946"/>
        </w:trPr>
        <w:tc>
          <w:tcPr>
            <w:tcW w:w="601" w:type="dxa"/>
            <w:tcBorders>
              <w:top w:val="single" w:sz="4" w:space="0" w:color="000000"/>
              <w:left w:val="single" w:sz="4" w:space="0" w:color="000000"/>
              <w:bottom w:val="single" w:sz="4" w:space="0" w:color="000000"/>
              <w:right w:val="single" w:sz="4" w:space="0" w:color="000000"/>
            </w:tcBorders>
            <w:vAlign w:val="center"/>
          </w:tcPr>
          <w:bookmarkEnd w:id="1"/>
          <w:p w14:paraId="3E57C49A" w14:textId="77777777" w:rsidR="00E854CB" w:rsidRPr="00E854CB" w:rsidRDefault="00E854CB" w:rsidP="00E854CB">
            <w:pPr>
              <w:suppressAutoHyphens/>
              <w:spacing w:after="0" w:line="240" w:lineRule="auto"/>
              <w:contextualSpacing/>
              <w:jc w:val="center"/>
              <w:rPr>
                <w:rFonts w:ascii="Times New Roman" w:hAnsi="Times New Roman" w:cs="Times New Roman"/>
                <w:b/>
                <w:bCs/>
                <w:sz w:val="24"/>
                <w:szCs w:val="24"/>
              </w:rPr>
            </w:pPr>
            <w:r w:rsidRPr="00E854CB">
              <w:rPr>
                <w:rFonts w:ascii="Times New Roman" w:eastAsia="Aptos" w:hAnsi="Times New Roman" w:cs="Times New Roman"/>
                <w:b/>
                <w:bCs/>
                <w:sz w:val="24"/>
                <w:szCs w:val="24"/>
              </w:rPr>
              <w:t>№ з/п</w:t>
            </w:r>
          </w:p>
        </w:tc>
        <w:tc>
          <w:tcPr>
            <w:tcW w:w="5954" w:type="dxa"/>
            <w:tcBorders>
              <w:top w:val="single" w:sz="4" w:space="0" w:color="000000"/>
              <w:left w:val="single" w:sz="4" w:space="0" w:color="000000"/>
              <w:bottom w:val="single" w:sz="4" w:space="0" w:color="000000"/>
              <w:right w:val="single" w:sz="4" w:space="0" w:color="000000"/>
            </w:tcBorders>
            <w:vAlign w:val="center"/>
          </w:tcPr>
          <w:p w14:paraId="481E1A4B" w14:textId="77777777" w:rsidR="00E854CB" w:rsidRPr="00E854CB" w:rsidRDefault="00E854CB" w:rsidP="00E854CB">
            <w:pPr>
              <w:suppressAutoHyphens/>
              <w:spacing w:after="0" w:line="240" w:lineRule="auto"/>
              <w:contextualSpacing/>
              <w:jc w:val="center"/>
              <w:rPr>
                <w:rFonts w:ascii="Times New Roman" w:hAnsi="Times New Roman" w:cs="Times New Roman"/>
                <w:b/>
                <w:bCs/>
                <w:sz w:val="24"/>
                <w:szCs w:val="24"/>
              </w:rPr>
            </w:pPr>
            <w:r w:rsidRPr="00E854CB">
              <w:rPr>
                <w:rFonts w:ascii="Times New Roman" w:eastAsia="Aptos" w:hAnsi="Times New Roman" w:cs="Times New Roman"/>
                <w:b/>
                <w:bCs/>
                <w:sz w:val="24"/>
                <w:szCs w:val="24"/>
              </w:rPr>
              <w:t>Найменування товару</w:t>
            </w:r>
          </w:p>
          <w:p w14:paraId="45E37AA0" w14:textId="77777777" w:rsidR="00E854CB" w:rsidRPr="00E854CB" w:rsidRDefault="00E854CB" w:rsidP="00E854CB">
            <w:pPr>
              <w:suppressAutoHyphens/>
              <w:spacing w:after="0" w:line="240" w:lineRule="auto"/>
              <w:contextualSpacing/>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E41BA0" w14:textId="77777777" w:rsidR="00E854CB" w:rsidRPr="00E854CB" w:rsidRDefault="00E854CB" w:rsidP="00E854CB">
            <w:pPr>
              <w:suppressAutoHyphens/>
              <w:spacing w:after="0" w:line="240" w:lineRule="auto"/>
              <w:contextualSpacing/>
              <w:jc w:val="center"/>
              <w:rPr>
                <w:rFonts w:ascii="Times New Roman" w:hAnsi="Times New Roman" w:cs="Times New Roman"/>
                <w:b/>
                <w:bCs/>
                <w:sz w:val="24"/>
                <w:szCs w:val="24"/>
              </w:rPr>
            </w:pPr>
            <w:r w:rsidRPr="00E854CB">
              <w:rPr>
                <w:rFonts w:ascii="Times New Roman" w:eastAsia="Aptos" w:hAnsi="Times New Roman" w:cs="Times New Roman"/>
                <w:b/>
                <w:bCs/>
                <w:sz w:val="24"/>
                <w:szCs w:val="24"/>
              </w:rPr>
              <w:t>Одиниця  виміру</w:t>
            </w:r>
          </w:p>
        </w:tc>
        <w:tc>
          <w:tcPr>
            <w:tcW w:w="1417" w:type="dxa"/>
            <w:tcBorders>
              <w:top w:val="single" w:sz="4" w:space="0" w:color="000000"/>
              <w:left w:val="single" w:sz="4" w:space="0" w:color="000000"/>
              <w:bottom w:val="single" w:sz="4" w:space="0" w:color="000000"/>
              <w:right w:val="single" w:sz="4" w:space="0" w:color="000000"/>
            </w:tcBorders>
            <w:vAlign w:val="center"/>
          </w:tcPr>
          <w:p w14:paraId="44049840" w14:textId="77777777" w:rsidR="00E854CB" w:rsidRPr="00E854CB" w:rsidRDefault="00E854CB" w:rsidP="00E854CB">
            <w:pPr>
              <w:suppressAutoHyphens/>
              <w:spacing w:after="0" w:line="240" w:lineRule="auto"/>
              <w:contextualSpacing/>
              <w:jc w:val="center"/>
              <w:rPr>
                <w:rFonts w:ascii="Times New Roman" w:hAnsi="Times New Roman" w:cs="Times New Roman"/>
                <w:b/>
                <w:bCs/>
                <w:sz w:val="24"/>
                <w:szCs w:val="24"/>
              </w:rPr>
            </w:pPr>
            <w:r w:rsidRPr="00E854CB">
              <w:rPr>
                <w:rFonts w:ascii="Times New Roman" w:eastAsia="Aptos" w:hAnsi="Times New Roman" w:cs="Times New Roman"/>
                <w:b/>
                <w:bCs/>
                <w:sz w:val="24"/>
                <w:szCs w:val="24"/>
              </w:rPr>
              <w:t>Кількість</w:t>
            </w:r>
          </w:p>
        </w:tc>
      </w:tr>
      <w:tr w:rsidR="00E854CB" w:rsidRPr="00E854CB" w14:paraId="6E4FBAA9" w14:textId="77777777" w:rsidTr="00156D7F">
        <w:tc>
          <w:tcPr>
            <w:tcW w:w="601" w:type="dxa"/>
            <w:tcBorders>
              <w:top w:val="single" w:sz="4" w:space="0" w:color="000000"/>
              <w:left w:val="single" w:sz="4" w:space="0" w:color="000000"/>
              <w:bottom w:val="single" w:sz="4" w:space="0" w:color="000000"/>
              <w:right w:val="single" w:sz="4" w:space="0" w:color="000000"/>
            </w:tcBorders>
            <w:shd w:val="clear" w:color="auto" w:fill="F2F2F2"/>
          </w:tcPr>
          <w:p w14:paraId="79BCB570" w14:textId="77777777" w:rsidR="00E854CB" w:rsidRPr="00E854CB" w:rsidRDefault="00E854CB" w:rsidP="00E854CB">
            <w:pPr>
              <w:suppressAutoHyphens/>
              <w:spacing w:after="0" w:line="240" w:lineRule="auto"/>
              <w:contextualSpacing/>
              <w:rPr>
                <w:rFonts w:ascii="Times New Roman" w:hAnsi="Times New Roman" w:cs="Times New Roman"/>
                <w:sz w:val="24"/>
                <w:szCs w:val="24"/>
              </w:rPr>
            </w:pPr>
            <w:r w:rsidRPr="00E854CB">
              <w:rPr>
                <w:rFonts w:ascii="Times New Roman" w:eastAsia="Aptos" w:hAnsi="Times New Roman" w:cs="Times New Roman"/>
                <w:sz w:val="24"/>
                <w:szCs w:val="24"/>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F2F2F2"/>
          </w:tcPr>
          <w:p w14:paraId="57899594" w14:textId="77777777" w:rsidR="00E854CB" w:rsidRPr="00E854CB" w:rsidRDefault="00E854CB" w:rsidP="00E854CB">
            <w:pPr>
              <w:suppressAutoHyphens/>
              <w:spacing w:after="0" w:line="240" w:lineRule="auto"/>
              <w:contextualSpacing/>
              <w:rPr>
                <w:rFonts w:ascii="Times New Roman" w:eastAsia="Calibri" w:hAnsi="Times New Roman" w:cs="Times New Roman"/>
                <w:b/>
                <w:bCs/>
                <w:sz w:val="24"/>
                <w:szCs w:val="24"/>
              </w:rPr>
            </w:pPr>
            <w:r w:rsidRPr="00E854CB">
              <w:rPr>
                <w:rFonts w:ascii="Times New Roman" w:eastAsia="Calibri" w:hAnsi="Times New Roman" w:cs="Times New Roman"/>
                <w:b/>
                <w:bCs/>
                <w:sz w:val="24"/>
                <w:szCs w:val="24"/>
              </w:rPr>
              <w:t>Засіб для дезінфекції поверхонь, 5 л</w:t>
            </w:r>
          </w:p>
          <w:p w14:paraId="543C2D66"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p>
          <w:p w14:paraId="23A68BB5"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об’єм: 5 л;</w:t>
            </w:r>
          </w:p>
          <w:p w14:paraId="474A5693"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діюча речовина: спирт;</w:t>
            </w:r>
          </w:p>
          <w:p w14:paraId="09E82B9C"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lastRenderedPageBreak/>
              <w:t>тара: каністра;</w:t>
            </w:r>
          </w:p>
          <w:p w14:paraId="2ADDA9DC"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тип засобу: рідина;</w:t>
            </w:r>
          </w:p>
          <w:p w14:paraId="14CA1A84"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колір:прозорий;</w:t>
            </w:r>
          </w:p>
          <w:p w14:paraId="2867F945"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b/>
                <w:bCs/>
                <w:kern w:val="2"/>
                <w:sz w:val="24"/>
                <w:szCs w:val="24"/>
                <w14:ligatures w14:val="standardContextual"/>
              </w:rPr>
              <w:t>склад</w:t>
            </w:r>
            <w:r w:rsidRPr="00E854CB">
              <w:rPr>
                <w:rFonts w:ascii="Times New Roman" w:eastAsia="Calibri" w:hAnsi="Times New Roman" w:cs="Times New Roman"/>
                <w:kern w:val="2"/>
                <w:sz w:val="24"/>
                <w:szCs w:val="24"/>
                <w14:ligatures w14:val="standardContextual"/>
              </w:rPr>
              <w:t>: етанол – 70,0 (діюча речовина) 2-пропанол – 2.0% (діюча речовина); допоміжні речовини; гліцерин, полігель, ТЕА, етилгексилгліцерин, вода деміреалізована – до 100%;</w:t>
            </w:r>
          </w:p>
          <w:p w14:paraId="37D29233"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 xml:space="preserve">кислотність: рН 6,5 - 7,5; </w:t>
            </w:r>
          </w:p>
          <w:p w14:paraId="243F88F8"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 xml:space="preserve">відносна густина: 0,847±0,003; </w:t>
            </w:r>
          </w:p>
          <w:p w14:paraId="34764EC9"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 xml:space="preserve">в’язкість – від 900 мПа с до 1200 мПа с; </w:t>
            </w:r>
          </w:p>
          <w:p w14:paraId="39B953CE"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показник заломлення – 1,355-1,371;</w:t>
            </w:r>
          </w:p>
          <w:p w14:paraId="15D0D710" w14:textId="77777777" w:rsidR="00E854CB" w:rsidRPr="00E854CB" w:rsidRDefault="00E854CB" w:rsidP="00E854CB">
            <w:pPr>
              <w:suppressAutoHyphens/>
              <w:spacing w:after="0" w:line="240" w:lineRule="auto"/>
              <w:contextualSpacing/>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14:paraId="07D73065" w14:textId="77777777" w:rsidR="00E854CB" w:rsidRPr="00E854CB" w:rsidRDefault="00E854CB" w:rsidP="00E854CB">
            <w:pPr>
              <w:suppressAutoHyphens/>
              <w:spacing w:after="0" w:line="240" w:lineRule="auto"/>
              <w:contextualSpacing/>
              <w:jc w:val="center"/>
              <w:rPr>
                <w:rFonts w:ascii="Times New Roman" w:hAnsi="Times New Roman" w:cs="Times New Roman"/>
                <w:sz w:val="24"/>
                <w:szCs w:val="24"/>
              </w:rPr>
            </w:pPr>
            <w:r w:rsidRPr="00E854CB">
              <w:rPr>
                <w:rFonts w:ascii="Times New Roman" w:eastAsia="Aptos" w:hAnsi="Times New Roman" w:cs="Times New Roman"/>
                <w:sz w:val="24"/>
                <w:szCs w:val="24"/>
              </w:rPr>
              <w:lastRenderedPageBreak/>
              <w:t>шт.</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Pr>
          <w:p w14:paraId="65685347" w14:textId="77777777" w:rsidR="00E854CB" w:rsidRPr="00E854CB" w:rsidRDefault="00E854CB" w:rsidP="00E854CB">
            <w:pPr>
              <w:suppressAutoHyphens/>
              <w:spacing w:after="0" w:line="240" w:lineRule="auto"/>
              <w:contextualSpacing/>
              <w:jc w:val="center"/>
              <w:rPr>
                <w:rFonts w:ascii="Times New Roman" w:hAnsi="Times New Roman" w:cs="Times New Roman"/>
                <w:sz w:val="24"/>
                <w:szCs w:val="24"/>
              </w:rPr>
            </w:pPr>
            <w:r w:rsidRPr="00E854CB">
              <w:rPr>
                <w:rFonts w:ascii="Times New Roman" w:hAnsi="Times New Roman" w:cs="Times New Roman"/>
                <w:sz w:val="24"/>
                <w:szCs w:val="24"/>
              </w:rPr>
              <w:t>90</w:t>
            </w:r>
          </w:p>
        </w:tc>
      </w:tr>
      <w:tr w:rsidR="00E854CB" w:rsidRPr="00E854CB" w14:paraId="5A4BA3A1" w14:textId="77777777" w:rsidTr="00156D7F">
        <w:tc>
          <w:tcPr>
            <w:tcW w:w="601" w:type="dxa"/>
            <w:tcBorders>
              <w:top w:val="single" w:sz="4" w:space="0" w:color="000000"/>
              <w:left w:val="single" w:sz="4" w:space="0" w:color="000000"/>
              <w:bottom w:val="single" w:sz="4" w:space="0" w:color="000000"/>
              <w:right w:val="single" w:sz="4" w:space="0" w:color="000000"/>
            </w:tcBorders>
          </w:tcPr>
          <w:p w14:paraId="03B8C681" w14:textId="77777777" w:rsidR="00E854CB" w:rsidRPr="00E854CB" w:rsidRDefault="00E854CB" w:rsidP="00E854CB">
            <w:pPr>
              <w:suppressAutoHyphens/>
              <w:spacing w:after="0" w:line="240" w:lineRule="auto"/>
              <w:contextualSpacing/>
              <w:rPr>
                <w:rFonts w:ascii="Times New Roman" w:hAnsi="Times New Roman" w:cs="Times New Roman"/>
                <w:sz w:val="24"/>
                <w:szCs w:val="24"/>
              </w:rPr>
            </w:pPr>
            <w:r w:rsidRPr="00E854CB">
              <w:rPr>
                <w:rFonts w:ascii="Times New Roman" w:eastAsia="Aptos" w:hAnsi="Times New Roman" w:cs="Times New Roman"/>
                <w:sz w:val="24"/>
                <w:szCs w:val="24"/>
              </w:rPr>
              <w:t>2.</w:t>
            </w:r>
          </w:p>
        </w:tc>
        <w:tc>
          <w:tcPr>
            <w:tcW w:w="5954" w:type="dxa"/>
            <w:tcBorders>
              <w:top w:val="single" w:sz="4" w:space="0" w:color="000000"/>
              <w:left w:val="single" w:sz="4" w:space="0" w:color="000000"/>
              <w:bottom w:val="single" w:sz="4" w:space="0" w:color="000000"/>
              <w:right w:val="single" w:sz="4" w:space="0" w:color="000000"/>
            </w:tcBorders>
          </w:tcPr>
          <w:p w14:paraId="62A405EC" w14:textId="77777777" w:rsidR="00E854CB" w:rsidRPr="00E854CB" w:rsidRDefault="00E854CB" w:rsidP="00E854CB">
            <w:pPr>
              <w:suppressAutoHyphens/>
              <w:spacing w:after="0" w:line="240" w:lineRule="auto"/>
              <w:contextualSpacing/>
              <w:rPr>
                <w:rFonts w:ascii="Times New Roman" w:eastAsia="Calibri" w:hAnsi="Times New Roman" w:cs="Times New Roman"/>
                <w:b/>
                <w:bCs/>
                <w:sz w:val="24"/>
                <w:szCs w:val="24"/>
              </w:rPr>
            </w:pPr>
            <w:r w:rsidRPr="00E854CB">
              <w:rPr>
                <w:rFonts w:ascii="Times New Roman" w:eastAsia="Calibri" w:hAnsi="Times New Roman" w:cs="Times New Roman"/>
                <w:b/>
                <w:bCs/>
                <w:sz w:val="24"/>
                <w:szCs w:val="24"/>
              </w:rPr>
              <w:t>Санітайзер для рук, 1 л</w:t>
            </w:r>
          </w:p>
          <w:p w14:paraId="49841E61" w14:textId="77777777" w:rsidR="00E854CB" w:rsidRPr="00E854CB" w:rsidRDefault="00E854CB" w:rsidP="00E854CB">
            <w:pPr>
              <w:suppressAutoHyphens/>
              <w:spacing w:after="0" w:line="240" w:lineRule="auto"/>
              <w:contextualSpacing/>
              <w:rPr>
                <w:rFonts w:ascii="Times New Roman" w:eastAsia="Calibri" w:hAnsi="Times New Roman" w:cs="Times New Roman"/>
                <w:b/>
                <w:bCs/>
                <w:sz w:val="24"/>
                <w:szCs w:val="24"/>
              </w:rPr>
            </w:pPr>
          </w:p>
          <w:p w14:paraId="6C8E3B70"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об’єм: 1 л;</w:t>
            </w:r>
          </w:p>
          <w:p w14:paraId="278B2D7A"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тара: ПЕТ-пляшка з дозатором;</w:t>
            </w:r>
          </w:p>
          <w:p w14:paraId="215C697A"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діюча речовина: спирт;</w:t>
            </w:r>
          </w:p>
          <w:p w14:paraId="71474416"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тип засобу: рідина;</w:t>
            </w:r>
          </w:p>
          <w:p w14:paraId="560BE6DE"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колір: прозорий;</w:t>
            </w:r>
          </w:p>
          <w:p w14:paraId="21A4BBA0"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b/>
                <w:bCs/>
                <w:kern w:val="2"/>
                <w:sz w:val="24"/>
                <w:szCs w:val="24"/>
                <w14:ligatures w14:val="standardContextual"/>
              </w:rPr>
              <w:t>склад</w:t>
            </w:r>
            <w:r w:rsidRPr="00E854CB">
              <w:rPr>
                <w:rFonts w:ascii="Times New Roman" w:eastAsia="Calibri" w:hAnsi="Times New Roman" w:cs="Times New Roman"/>
                <w:kern w:val="2"/>
                <w:sz w:val="24"/>
                <w:szCs w:val="24"/>
                <w14:ligatures w14:val="standardContextual"/>
              </w:rPr>
              <w:t>: етанол – 70,0 (діюча речовина) 2-пропанол – 2.0% (діюча речовина); допоміжні речовини; гліцерин, полігель, ТЕА, етилгексилгліцерин, вода деміреалізована – до 100%;</w:t>
            </w:r>
          </w:p>
          <w:p w14:paraId="47BEAEF5"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 xml:space="preserve">кислотність: рН 6,5 - 7,5; </w:t>
            </w:r>
          </w:p>
          <w:p w14:paraId="794AD1EE"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 xml:space="preserve">відносна густина: 0,847±0,003; </w:t>
            </w:r>
          </w:p>
          <w:p w14:paraId="46648B00"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 xml:space="preserve">в’язкість – від 900 мПа с до 1200 мПа с; </w:t>
            </w:r>
          </w:p>
          <w:p w14:paraId="1A355C70"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показник заломлення – 1,355-1,371;</w:t>
            </w:r>
          </w:p>
          <w:p w14:paraId="0C27FB93" w14:textId="77777777" w:rsidR="00E854CB" w:rsidRPr="00E854CB" w:rsidRDefault="00E854CB" w:rsidP="00E854CB">
            <w:pPr>
              <w:suppressAutoHyphens/>
              <w:spacing w:after="0" w:line="240" w:lineRule="auto"/>
              <w:contextualSpacing/>
              <w:rPr>
                <w:rFonts w:ascii="Times New Roman" w:eastAsia="Calibri" w:hAnsi="Times New Roman" w:cs="Times New Roman"/>
                <w:kern w:val="2"/>
                <w:sz w:val="24"/>
                <w:szCs w:val="24"/>
                <w14:ligatures w14:val="standardContextual"/>
              </w:rPr>
            </w:pPr>
            <w:r w:rsidRPr="00E854CB">
              <w:rPr>
                <w:rFonts w:ascii="Times New Roman" w:eastAsia="Calibri" w:hAnsi="Times New Roman" w:cs="Times New Roman"/>
                <w:kern w:val="2"/>
                <w:sz w:val="24"/>
                <w:szCs w:val="24"/>
                <w14:ligatures w14:val="standardContextual"/>
              </w:rPr>
              <w:t>відповідає вимогам ТУ У 20.4-39353694-001:2015;</w:t>
            </w:r>
          </w:p>
          <w:p w14:paraId="74EAE36E" w14:textId="77777777" w:rsidR="00E854CB" w:rsidRPr="00E854CB" w:rsidRDefault="00E854CB" w:rsidP="00E854CB">
            <w:pPr>
              <w:suppressAutoHyphens/>
              <w:spacing w:after="0" w:line="240" w:lineRule="auto"/>
              <w:contextualSpacing/>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223F988" w14:textId="77777777" w:rsidR="00E854CB" w:rsidRPr="00E854CB" w:rsidRDefault="00E854CB" w:rsidP="00E854CB">
            <w:pPr>
              <w:suppressAutoHyphens/>
              <w:spacing w:after="0" w:line="240" w:lineRule="auto"/>
              <w:contextualSpacing/>
              <w:jc w:val="center"/>
              <w:rPr>
                <w:rFonts w:ascii="Times New Roman" w:hAnsi="Times New Roman" w:cs="Times New Roman"/>
                <w:sz w:val="24"/>
                <w:szCs w:val="24"/>
              </w:rPr>
            </w:pPr>
            <w:r w:rsidRPr="00E854CB">
              <w:rPr>
                <w:rFonts w:ascii="Times New Roman" w:eastAsia="Aptos" w:hAnsi="Times New Roman" w:cs="Times New Roman"/>
                <w:sz w:val="24"/>
                <w:szCs w:val="24"/>
              </w:rPr>
              <w:t>шт.</w:t>
            </w:r>
          </w:p>
        </w:tc>
        <w:tc>
          <w:tcPr>
            <w:tcW w:w="1417" w:type="dxa"/>
            <w:tcBorders>
              <w:top w:val="single" w:sz="4" w:space="0" w:color="000000"/>
              <w:left w:val="single" w:sz="4" w:space="0" w:color="000000"/>
              <w:bottom w:val="single" w:sz="4" w:space="0" w:color="000000"/>
              <w:right w:val="single" w:sz="4" w:space="0" w:color="000000"/>
            </w:tcBorders>
          </w:tcPr>
          <w:p w14:paraId="6928B8EF" w14:textId="77777777" w:rsidR="00E854CB" w:rsidRPr="00E854CB" w:rsidRDefault="00E854CB" w:rsidP="00E854CB">
            <w:pPr>
              <w:suppressAutoHyphens/>
              <w:spacing w:after="0" w:line="240" w:lineRule="auto"/>
              <w:contextualSpacing/>
              <w:jc w:val="center"/>
              <w:rPr>
                <w:rFonts w:ascii="Times New Roman" w:hAnsi="Times New Roman" w:cs="Times New Roman"/>
                <w:sz w:val="24"/>
                <w:szCs w:val="24"/>
              </w:rPr>
            </w:pPr>
            <w:r w:rsidRPr="00E854CB">
              <w:rPr>
                <w:rFonts w:ascii="Times New Roman" w:hAnsi="Times New Roman" w:cs="Times New Roman"/>
                <w:sz w:val="24"/>
                <w:szCs w:val="24"/>
              </w:rPr>
              <w:t>100</w:t>
            </w:r>
          </w:p>
        </w:tc>
      </w:tr>
    </w:tbl>
    <w:p w14:paraId="22D14C87" w14:textId="77777777" w:rsidR="00E854CB" w:rsidRPr="00E854CB" w:rsidRDefault="00E854CB" w:rsidP="00E854CB">
      <w:pPr>
        <w:spacing w:after="0" w:line="240" w:lineRule="auto"/>
        <w:rPr>
          <w:rFonts w:ascii="Times New Roman" w:hAnsi="Times New Roman" w:cs="Times New Roman"/>
          <w:b/>
          <w:sz w:val="24"/>
          <w:szCs w:val="24"/>
        </w:rPr>
      </w:pPr>
    </w:p>
    <w:p w14:paraId="5271A63E" w14:textId="77777777" w:rsidR="00E854CB" w:rsidRPr="00E854CB" w:rsidRDefault="00E854CB" w:rsidP="00E854CB">
      <w:pPr>
        <w:spacing w:after="0" w:line="240" w:lineRule="auto"/>
        <w:rPr>
          <w:rFonts w:ascii="Times New Roman" w:hAnsi="Times New Roman" w:cs="Times New Roman"/>
          <w:b/>
          <w:sz w:val="24"/>
          <w:szCs w:val="24"/>
        </w:rPr>
      </w:pPr>
    </w:p>
    <w:p w14:paraId="6D037223" w14:textId="77777777" w:rsidR="00E854CB" w:rsidRPr="00E854CB" w:rsidRDefault="00E854CB" w:rsidP="00E854CB">
      <w:pPr>
        <w:pStyle w:val="a6"/>
        <w:spacing w:after="0" w:line="240" w:lineRule="auto"/>
        <w:ind w:firstLine="567"/>
        <w:jc w:val="both"/>
        <w:rPr>
          <w:color w:val="000000" w:themeColor="text1"/>
          <w:shd w:val="clear" w:color="auto" w:fill="FFFFFF"/>
        </w:rPr>
      </w:pPr>
      <w:r w:rsidRPr="00E854CB">
        <w:rPr>
          <w:color w:val="000000" w:themeColor="text1"/>
          <w:shd w:val="clear" w:color="auto" w:fill="FFFFFF"/>
        </w:rPr>
        <w:t xml:space="preserve">1. Товар повинен бути новим, з повною комплектацією. Із товаром поставляється інструкція з використання українською мовою.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 та розвантаженні. Технічні та якісні характеристики повинні відповідати вимогам і стандартам відповідних чинних нормативних документів. </w:t>
      </w:r>
    </w:p>
    <w:p w14:paraId="383E8BD9" w14:textId="77777777" w:rsidR="00E854CB" w:rsidRPr="00E854CB" w:rsidRDefault="00E854CB" w:rsidP="00E854CB">
      <w:pPr>
        <w:pStyle w:val="a6"/>
        <w:spacing w:after="0" w:line="240" w:lineRule="auto"/>
        <w:ind w:firstLine="567"/>
        <w:jc w:val="both"/>
        <w:rPr>
          <w:color w:val="000000" w:themeColor="text1"/>
          <w:shd w:val="clear" w:color="auto" w:fill="FFFFFF"/>
        </w:rPr>
      </w:pPr>
      <w:r w:rsidRPr="00E854CB">
        <w:rPr>
          <w:color w:val="000000" w:themeColor="text1"/>
          <w:shd w:val="clear" w:color="auto" w:fill="FFFFFF"/>
        </w:rPr>
        <w:t>2. Доставка та розвантаження товару здійснюється за рахунок і силами Постачальника у попередньо узгоджені у терміни і визначається в кожному випадку замовленням Замовника.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5287C34C" w14:textId="77777777" w:rsidR="00E854CB" w:rsidRPr="00E854CB" w:rsidRDefault="00E854CB" w:rsidP="00E854CB">
      <w:pPr>
        <w:spacing w:after="0" w:line="240" w:lineRule="auto"/>
        <w:ind w:firstLine="567"/>
        <w:jc w:val="both"/>
        <w:rPr>
          <w:rFonts w:ascii="Times New Roman" w:hAnsi="Times New Roman" w:cs="Times New Roman"/>
          <w:color w:val="000000" w:themeColor="text1"/>
          <w:sz w:val="24"/>
          <w:szCs w:val="24"/>
          <w:shd w:val="clear" w:color="auto" w:fill="FFFFFF"/>
        </w:rPr>
      </w:pPr>
      <w:r w:rsidRPr="00E854CB">
        <w:rPr>
          <w:rFonts w:ascii="Times New Roman" w:hAnsi="Times New Roman" w:cs="Times New Roman"/>
          <w:color w:val="000000" w:themeColor="text1"/>
          <w:sz w:val="24"/>
          <w:szCs w:val="24"/>
          <w:shd w:val="clear" w:color="auto" w:fill="FFFFFF"/>
        </w:rPr>
        <w:t>3.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3D5C0EAE" w14:textId="77777777" w:rsidR="00E854CB" w:rsidRPr="00E854CB" w:rsidRDefault="00E854CB" w:rsidP="00E854CB">
      <w:pPr>
        <w:spacing w:after="0" w:line="240" w:lineRule="auto"/>
        <w:ind w:firstLine="567"/>
        <w:jc w:val="both"/>
        <w:rPr>
          <w:rFonts w:ascii="Times New Roman" w:hAnsi="Times New Roman" w:cs="Times New Roman"/>
          <w:color w:val="000000" w:themeColor="text1"/>
          <w:sz w:val="24"/>
          <w:szCs w:val="24"/>
          <w:shd w:val="clear" w:color="auto" w:fill="FFFFFF"/>
        </w:rPr>
      </w:pPr>
    </w:p>
    <w:p w14:paraId="0FABFB69" w14:textId="77777777" w:rsidR="00E854CB" w:rsidRPr="00E854CB" w:rsidRDefault="00E854CB" w:rsidP="00E854CB">
      <w:pPr>
        <w:spacing w:after="0" w:line="240" w:lineRule="auto"/>
        <w:ind w:firstLine="567"/>
        <w:jc w:val="both"/>
        <w:rPr>
          <w:rFonts w:ascii="Times New Roman" w:hAnsi="Times New Roman" w:cs="Times New Roman"/>
          <w:sz w:val="24"/>
          <w:szCs w:val="24"/>
        </w:rPr>
      </w:pPr>
      <w:r w:rsidRPr="00E854CB">
        <w:rPr>
          <w:rFonts w:ascii="Times New Roman" w:hAnsi="Times New Roman" w:cs="Times New Roman"/>
          <w:color w:val="000000" w:themeColor="text1"/>
          <w:sz w:val="24"/>
          <w:szCs w:val="24"/>
          <w:shd w:val="clear" w:color="auto" w:fill="FFFFFF"/>
        </w:rPr>
        <w:t xml:space="preserve">4. </w:t>
      </w:r>
      <w:r w:rsidRPr="00E854CB">
        <w:rPr>
          <w:rFonts w:ascii="Times New Roman" w:hAnsi="Times New Roman" w:cs="Times New Roman"/>
          <w:sz w:val="24"/>
          <w:szCs w:val="24"/>
        </w:rPr>
        <w:t>Учасник у складі тендерної пропозиції має надати документи, що підтверджують якість товарів (сертифікати або декларації відповідності на товар), а також гарантію про постачання товару у строки встановлені в проєкті Договору.</w:t>
      </w:r>
    </w:p>
    <w:p w14:paraId="53D8A896" w14:textId="77777777" w:rsidR="00E854CB" w:rsidRPr="00E854CB" w:rsidRDefault="00E854CB" w:rsidP="00E854CB">
      <w:pPr>
        <w:spacing w:after="0" w:line="240" w:lineRule="auto"/>
        <w:ind w:firstLine="567"/>
        <w:jc w:val="both"/>
        <w:rPr>
          <w:rFonts w:ascii="Times New Roman" w:hAnsi="Times New Roman" w:cs="Times New Roman"/>
          <w:sz w:val="24"/>
          <w:szCs w:val="24"/>
        </w:rPr>
      </w:pPr>
    </w:p>
    <w:p w14:paraId="39C85A3C" w14:textId="77777777" w:rsidR="00E854CB" w:rsidRPr="00E854CB" w:rsidRDefault="00E854CB" w:rsidP="00E854CB">
      <w:pPr>
        <w:spacing w:after="0" w:line="240" w:lineRule="auto"/>
        <w:ind w:firstLine="567"/>
        <w:jc w:val="both"/>
        <w:rPr>
          <w:rFonts w:ascii="Times New Roman" w:hAnsi="Times New Roman" w:cs="Times New Roman"/>
          <w:sz w:val="24"/>
          <w:szCs w:val="24"/>
        </w:rPr>
      </w:pPr>
      <w:r w:rsidRPr="00E854CB">
        <w:rPr>
          <w:rFonts w:ascii="Times New Roman" w:hAnsi="Times New Roman" w:cs="Times New Roman"/>
          <w:sz w:val="24"/>
          <w:szCs w:val="24"/>
        </w:rPr>
        <w:t xml:space="preserve">5. Якщо Учасник пропонує товар, технічні характеристики якого відрізняються від наведених вище, він повинен обов’язково </w:t>
      </w:r>
      <w:r w:rsidRPr="00E854CB">
        <w:rPr>
          <w:rFonts w:ascii="Times New Roman" w:hAnsi="Times New Roman" w:cs="Times New Roman"/>
          <w:b/>
          <w:bCs/>
          <w:sz w:val="24"/>
          <w:szCs w:val="24"/>
        </w:rPr>
        <w:t>надати порівняльну таблицю</w:t>
      </w:r>
      <w:r w:rsidRPr="00E854CB">
        <w:rPr>
          <w:rFonts w:ascii="Times New Roman" w:hAnsi="Times New Roman" w:cs="Times New Roman"/>
          <w:sz w:val="24"/>
          <w:szCs w:val="24"/>
        </w:rPr>
        <w:t xml:space="preserve"> щодо відповідності технічних характеристик запропонованого товару наведеним Замовником характеристикам. </w:t>
      </w:r>
    </w:p>
    <w:p w14:paraId="563A7E2C" w14:textId="77777777" w:rsidR="00E854CB" w:rsidRPr="00E854CB" w:rsidRDefault="00E854CB" w:rsidP="00E854CB">
      <w:pPr>
        <w:spacing w:after="0" w:line="240" w:lineRule="auto"/>
        <w:ind w:firstLine="567"/>
        <w:jc w:val="both"/>
        <w:rPr>
          <w:rFonts w:ascii="Times New Roman" w:hAnsi="Times New Roman" w:cs="Times New Roman"/>
          <w:sz w:val="24"/>
          <w:szCs w:val="24"/>
        </w:rPr>
      </w:pPr>
      <w:r w:rsidRPr="00E854CB">
        <w:rPr>
          <w:rFonts w:ascii="Times New Roman" w:hAnsi="Times New Roman" w:cs="Times New Roman"/>
          <w:sz w:val="24"/>
          <w:szCs w:val="24"/>
        </w:rPr>
        <w:t>В цьому випадку товар має бути з технічними та якісними характеристиками рівноцінним або кращим, ніж визначено Замовником</w:t>
      </w:r>
    </w:p>
    <w:p w14:paraId="1D0737AD" w14:textId="77777777" w:rsidR="00E854CB" w:rsidRPr="00E854CB" w:rsidRDefault="00E854CB" w:rsidP="00E854CB">
      <w:pPr>
        <w:spacing w:after="0" w:line="240" w:lineRule="auto"/>
        <w:jc w:val="center"/>
        <w:rPr>
          <w:rFonts w:ascii="Times New Roman" w:hAnsi="Times New Roman" w:cs="Times New Roman"/>
          <w:b/>
          <w:bCs/>
          <w:sz w:val="24"/>
          <w:szCs w:val="24"/>
        </w:rPr>
      </w:pPr>
    </w:p>
    <w:p w14:paraId="38EFAB95" w14:textId="77777777" w:rsidR="00E854CB" w:rsidRPr="00E854CB" w:rsidRDefault="00E854CB" w:rsidP="00E854CB">
      <w:pPr>
        <w:spacing w:after="0" w:line="240" w:lineRule="auto"/>
        <w:ind w:firstLine="263"/>
        <w:jc w:val="both"/>
        <w:rPr>
          <w:rFonts w:ascii="Times New Roman" w:hAnsi="Times New Roman" w:cs="Times New Roman"/>
          <w:i/>
          <w:sz w:val="24"/>
          <w:szCs w:val="24"/>
        </w:rPr>
      </w:pPr>
      <w:r w:rsidRPr="00E854CB">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5D9654C2" w14:textId="77777777" w:rsidR="00E854CB" w:rsidRPr="00E854CB" w:rsidRDefault="00E854CB" w:rsidP="00E854CB">
      <w:pPr>
        <w:spacing w:after="0" w:line="240" w:lineRule="auto"/>
        <w:ind w:firstLine="263"/>
        <w:jc w:val="both"/>
        <w:rPr>
          <w:rFonts w:ascii="Times New Roman" w:hAnsi="Times New Roman" w:cs="Times New Roman"/>
          <w:i/>
          <w:sz w:val="24"/>
          <w:szCs w:val="24"/>
        </w:rPr>
      </w:pPr>
      <w:r w:rsidRPr="00E854CB">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B3E8A50" w14:textId="77777777" w:rsidR="00E854CB" w:rsidRPr="00E854CB" w:rsidRDefault="00E854CB" w:rsidP="00E854CB">
      <w:pPr>
        <w:spacing w:after="0" w:line="240" w:lineRule="auto"/>
        <w:jc w:val="both"/>
        <w:rPr>
          <w:rFonts w:ascii="Times New Roman" w:hAnsi="Times New Roman" w:cs="Times New Roman"/>
          <w:i/>
          <w:sz w:val="24"/>
          <w:szCs w:val="24"/>
        </w:rPr>
      </w:pPr>
      <w:r w:rsidRPr="00E854CB">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94D1838" w14:textId="77777777" w:rsidR="00E854CB" w:rsidRPr="00E854CB" w:rsidRDefault="00E854CB" w:rsidP="00E854CB">
      <w:pPr>
        <w:spacing w:after="0" w:line="240" w:lineRule="auto"/>
        <w:ind w:firstLine="567"/>
        <w:jc w:val="both"/>
        <w:rPr>
          <w:rFonts w:ascii="Times New Roman" w:hAnsi="Times New Roman" w:cs="Times New Roman"/>
          <w:bCs/>
          <w:i/>
          <w:iCs/>
          <w:sz w:val="24"/>
          <w:szCs w:val="24"/>
        </w:rPr>
      </w:pPr>
    </w:p>
    <w:p w14:paraId="7DA7119A" w14:textId="77777777" w:rsidR="00E854CB" w:rsidRPr="00E854CB" w:rsidRDefault="00E854CB" w:rsidP="00E854CB">
      <w:pPr>
        <w:spacing w:after="0" w:line="240" w:lineRule="auto"/>
        <w:ind w:firstLine="567"/>
        <w:jc w:val="both"/>
        <w:rPr>
          <w:rFonts w:ascii="Times New Roman" w:hAnsi="Times New Roman" w:cs="Times New Roman"/>
          <w:sz w:val="24"/>
          <w:szCs w:val="24"/>
        </w:rPr>
      </w:pPr>
      <w:r w:rsidRPr="00E854CB">
        <w:rPr>
          <w:rFonts w:ascii="Times New Roman" w:hAnsi="Times New Roman" w:cs="Times New Roman"/>
          <w:bCs/>
          <w:iCs/>
          <w:sz w:val="24"/>
          <w:szCs w:val="24"/>
        </w:rPr>
        <w:t>У разі якщо технічні характеристики товару, що пропонується Учасником не відповідає технічним вимогам Замовника або Учасник не в змозі виконати умови поставки, які визначені Замовником, Тендерна пропозиція Учасника відхиляється (дискваліфікується).</w:t>
      </w:r>
    </w:p>
    <w:p w14:paraId="0D5B4B6B" w14:textId="77777777" w:rsidR="00E854CB" w:rsidRPr="00E854CB" w:rsidRDefault="00E854CB" w:rsidP="00E854CB">
      <w:pPr>
        <w:spacing w:after="0" w:line="240" w:lineRule="auto"/>
        <w:ind w:firstLine="567"/>
        <w:jc w:val="both"/>
        <w:rPr>
          <w:rFonts w:ascii="Times New Roman" w:hAnsi="Times New Roman" w:cs="Times New Roman"/>
          <w:b/>
          <w:bCs/>
          <w:sz w:val="24"/>
          <w:szCs w:val="24"/>
        </w:rPr>
      </w:pPr>
    </w:p>
    <w:p w14:paraId="0268EEC3" w14:textId="77777777" w:rsidR="00E854CB" w:rsidRPr="00E854CB" w:rsidRDefault="00E854CB" w:rsidP="00E854CB">
      <w:pPr>
        <w:spacing w:after="0" w:line="240" w:lineRule="auto"/>
        <w:ind w:firstLine="567"/>
        <w:jc w:val="both"/>
        <w:rPr>
          <w:rFonts w:ascii="Times New Roman" w:hAnsi="Times New Roman" w:cs="Times New Roman"/>
          <w:sz w:val="24"/>
          <w:szCs w:val="24"/>
        </w:rPr>
      </w:pPr>
      <w:r w:rsidRPr="00E854CB">
        <w:rPr>
          <w:rFonts w:ascii="Times New Roman" w:hAnsi="Times New Roman" w:cs="Times New Roman"/>
          <w:sz w:val="24"/>
          <w:szCs w:val="24"/>
        </w:rPr>
        <w:t>У разі надання гарантійного листа (або інших документів) від виробника (-ів) іноземною мовою, цей лист повинен супроводжуватись перекладом на українську мову.</w:t>
      </w:r>
    </w:p>
    <w:p w14:paraId="0E9C6CBC" w14:textId="77777777" w:rsidR="00E854CB" w:rsidRPr="00E854CB" w:rsidRDefault="00E854CB" w:rsidP="00E854CB">
      <w:pPr>
        <w:spacing w:after="0" w:line="240" w:lineRule="auto"/>
        <w:ind w:firstLine="567"/>
        <w:jc w:val="both"/>
        <w:rPr>
          <w:rFonts w:ascii="Times New Roman" w:hAnsi="Times New Roman" w:cs="Times New Roman"/>
          <w:sz w:val="24"/>
          <w:szCs w:val="24"/>
        </w:rPr>
      </w:pPr>
    </w:p>
    <w:p w14:paraId="22041D20" w14:textId="77777777" w:rsidR="00E854CB" w:rsidRPr="00E854CB" w:rsidRDefault="00E854CB" w:rsidP="00E854CB">
      <w:pPr>
        <w:spacing w:after="0" w:line="240" w:lineRule="auto"/>
        <w:ind w:firstLine="567"/>
        <w:jc w:val="both"/>
        <w:rPr>
          <w:rFonts w:ascii="Times New Roman" w:hAnsi="Times New Roman" w:cs="Times New Roman"/>
          <w:sz w:val="24"/>
          <w:szCs w:val="24"/>
        </w:rPr>
      </w:pPr>
      <w:r w:rsidRPr="00E854CB">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12DE2148" w14:textId="77777777" w:rsidR="00E854CB" w:rsidRPr="00E854CB" w:rsidRDefault="00E854CB" w:rsidP="00E854CB">
      <w:pPr>
        <w:spacing w:after="0" w:line="240" w:lineRule="auto"/>
        <w:ind w:firstLine="567"/>
        <w:jc w:val="both"/>
        <w:rPr>
          <w:rFonts w:ascii="Times New Roman" w:hAnsi="Times New Roman" w:cs="Times New Roman"/>
          <w:sz w:val="24"/>
          <w:szCs w:val="24"/>
        </w:rPr>
      </w:pPr>
    </w:p>
    <w:p w14:paraId="6EAF73A9" w14:textId="77777777" w:rsidR="00E854CB" w:rsidRPr="00E854CB" w:rsidRDefault="00E854CB" w:rsidP="00E854CB">
      <w:pPr>
        <w:spacing w:after="0" w:line="240" w:lineRule="auto"/>
        <w:ind w:firstLine="567"/>
        <w:jc w:val="both"/>
        <w:rPr>
          <w:rFonts w:ascii="Times New Roman" w:hAnsi="Times New Roman" w:cs="Times New Roman"/>
          <w:bCs/>
          <w:iCs/>
          <w:sz w:val="24"/>
          <w:szCs w:val="24"/>
        </w:rPr>
      </w:pPr>
      <w:r w:rsidRPr="00E854CB">
        <w:rPr>
          <w:rFonts w:ascii="Times New Roman" w:hAnsi="Times New Roman" w:cs="Times New Roman"/>
          <w:bCs/>
          <w:iCs/>
          <w:sz w:val="24"/>
          <w:szCs w:val="24"/>
        </w:rPr>
        <w:t>Товар повинен відповідати вимогам:</w:t>
      </w:r>
    </w:p>
    <w:p w14:paraId="5BF5168D" w14:textId="77777777" w:rsidR="00E854CB" w:rsidRPr="00E854CB" w:rsidRDefault="00E854CB" w:rsidP="00E854CB">
      <w:pPr>
        <w:spacing w:after="0" w:line="240" w:lineRule="auto"/>
        <w:ind w:firstLine="567"/>
        <w:jc w:val="both"/>
        <w:rPr>
          <w:rFonts w:ascii="Times New Roman" w:hAnsi="Times New Roman" w:cs="Times New Roman"/>
          <w:bCs/>
          <w:iCs/>
          <w:sz w:val="24"/>
          <w:szCs w:val="24"/>
        </w:rPr>
      </w:pPr>
      <w:r w:rsidRPr="00E854CB">
        <w:rPr>
          <w:rFonts w:ascii="Times New Roman" w:hAnsi="Times New Roman" w:cs="Times New Roman"/>
          <w:bCs/>
          <w:iCs/>
          <w:sz w:val="24"/>
          <w:szCs w:val="24"/>
        </w:rPr>
        <w:t>- Закону України від 14.08.2014р. № 1644-VІІ «Про санкції»,</w:t>
      </w:r>
    </w:p>
    <w:p w14:paraId="646EF84F" w14:textId="77777777" w:rsidR="00E854CB" w:rsidRPr="00E854CB" w:rsidRDefault="00E854CB" w:rsidP="00E854CB">
      <w:pPr>
        <w:spacing w:after="0" w:line="240" w:lineRule="auto"/>
        <w:ind w:firstLine="567"/>
        <w:jc w:val="both"/>
        <w:rPr>
          <w:rFonts w:ascii="Times New Roman" w:hAnsi="Times New Roman" w:cs="Times New Roman"/>
          <w:bCs/>
          <w:iCs/>
          <w:sz w:val="24"/>
          <w:szCs w:val="24"/>
        </w:rPr>
      </w:pPr>
      <w:r w:rsidRPr="00E854CB">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038EDC8" w14:textId="77777777" w:rsidR="00E854CB" w:rsidRPr="00E854CB" w:rsidRDefault="00E854CB" w:rsidP="00E854CB">
      <w:pPr>
        <w:spacing w:after="0" w:line="240" w:lineRule="auto"/>
        <w:ind w:firstLine="567"/>
        <w:jc w:val="both"/>
        <w:rPr>
          <w:rFonts w:ascii="Times New Roman" w:hAnsi="Times New Roman" w:cs="Times New Roman"/>
          <w:bCs/>
          <w:iCs/>
          <w:sz w:val="24"/>
          <w:szCs w:val="24"/>
        </w:rPr>
      </w:pPr>
      <w:r w:rsidRPr="00E854CB">
        <w:rPr>
          <w:rFonts w:ascii="Times New Roman" w:hAnsi="Times New Roman" w:cs="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bookmarkEnd w:id="0"/>
    <w:p w14:paraId="0952A8D2" w14:textId="77777777" w:rsidR="00E854CB" w:rsidRPr="00BF5F08" w:rsidRDefault="00E854CB" w:rsidP="00BF5F08">
      <w:pPr>
        <w:tabs>
          <w:tab w:val="left" w:pos="0"/>
          <w:tab w:val="left" w:pos="993"/>
          <w:tab w:val="left" w:pos="1276"/>
        </w:tabs>
        <w:spacing w:after="0" w:line="240" w:lineRule="auto"/>
        <w:jc w:val="both"/>
        <w:rPr>
          <w:rFonts w:ascii="Times New Roman" w:hAnsi="Times New Roman" w:cs="Times New Roman"/>
          <w:sz w:val="24"/>
          <w:szCs w:val="24"/>
        </w:rPr>
      </w:pPr>
    </w:p>
    <w:p w14:paraId="28B83EFB" w14:textId="57CBF85B"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6BB1BA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854CB">
        <w:rPr>
          <w:rFonts w:ascii="Times New Roman" w:eastAsia="Times New Roman" w:hAnsi="Times New Roman" w:cs="Times New Roman"/>
          <w:sz w:val="24"/>
          <w:szCs w:val="24"/>
          <w:lang w:eastAsia="ru-RU"/>
        </w:rPr>
        <w:t>52 944</w:t>
      </w:r>
      <w:r w:rsidR="001C06B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854CB">
        <w:rPr>
          <w:rFonts w:ascii="Times New Roman" w:eastAsia="Times New Roman" w:hAnsi="Times New Roman" w:cs="Times New Roman"/>
          <w:sz w:val="24"/>
          <w:szCs w:val="24"/>
          <w:lang w:eastAsia="ru-RU"/>
        </w:rPr>
        <w:t>п’ятдесят дві тисячі дев’ятсот сорок чотири</w:t>
      </w:r>
      <w:r w:rsidR="00E1484E">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грив</w:t>
      </w:r>
      <w:r w:rsidR="00E854CB">
        <w:rPr>
          <w:rFonts w:ascii="Times New Roman" w:eastAsia="Times New Roman" w:hAnsi="Times New Roman" w:cs="Times New Roman"/>
          <w:sz w:val="24"/>
          <w:szCs w:val="24"/>
          <w:lang w:eastAsia="ru-RU"/>
        </w:rPr>
        <w:t>ні</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w:t>
      </w:r>
      <w:r w:rsidR="00D42EB8" w:rsidRPr="00F90C90">
        <w:rPr>
          <w:rFonts w:ascii="Times New Roman" w:eastAsia="Times New Roman" w:hAnsi="Times New Roman" w:cs="Times New Roman"/>
          <w:sz w:val="24"/>
          <w:szCs w:val="24"/>
          <w:lang w:eastAsia="ru-RU"/>
        </w:rPr>
        <w:lastRenderedPageBreak/>
        <w:t xml:space="preserve">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074F"/>
    <w:rsid w:val="001A48BE"/>
    <w:rsid w:val="001A4A79"/>
    <w:rsid w:val="001B3B40"/>
    <w:rsid w:val="001C06BF"/>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B016F"/>
    <w:rsid w:val="009D1AE9"/>
    <w:rsid w:val="009D2593"/>
    <w:rsid w:val="009E0135"/>
    <w:rsid w:val="00A15F47"/>
    <w:rsid w:val="00A20E61"/>
    <w:rsid w:val="00A52138"/>
    <w:rsid w:val="00A9409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65313"/>
    <w:rsid w:val="00C665CD"/>
    <w:rsid w:val="00C66F3C"/>
    <w:rsid w:val="00C92558"/>
    <w:rsid w:val="00CC015E"/>
    <w:rsid w:val="00CC0C05"/>
    <w:rsid w:val="00CD0EC0"/>
    <w:rsid w:val="00CD210E"/>
    <w:rsid w:val="00CD40DE"/>
    <w:rsid w:val="00CF3B29"/>
    <w:rsid w:val="00D13D9F"/>
    <w:rsid w:val="00D21E21"/>
    <w:rsid w:val="00D274F4"/>
    <w:rsid w:val="00D42EB8"/>
    <w:rsid w:val="00D66E58"/>
    <w:rsid w:val="00D713FC"/>
    <w:rsid w:val="00D824DB"/>
    <w:rsid w:val="00DA2D96"/>
    <w:rsid w:val="00DB1718"/>
    <w:rsid w:val="00DB4D77"/>
    <w:rsid w:val="00DD01DD"/>
    <w:rsid w:val="00DD0F05"/>
    <w:rsid w:val="00E10599"/>
    <w:rsid w:val="00E129BB"/>
    <w:rsid w:val="00E1484E"/>
    <w:rsid w:val="00E17A11"/>
    <w:rsid w:val="00E62993"/>
    <w:rsid w:val="00E62C9F"/>
    <w:rsid w:val="00E80A48"/>
    <w:rsid w:val="00E854CB"/>
    <w:rsid w:val="00EA5532"/>
    <w:rsid w:val="00ED61FD"/>
    <w:rsid w:val="00EE3649"/>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1155</Words>
  <Characters>7855</Characters>
  <Application>Microsoft Office Word</Application>
  <DocSecurity>0</DocSecurity>
  <Lines>218</Lines>
  <Paragraphs>107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216</cp:revision>
  <dcterms:created xsi:type="dcterms:W3CDTF">2022-11-01T12:47:00Z</dcterms:created>
  <dcterms:modified xsi:type="dcterms:W3CDTF">2025-12-29T10:22:00Z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