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Сікевича,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3D8AA7FF"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10481" w:rsidRPr="00D10481">
        <w:rPr>
          <w:b w:val="0"/>
          <w:bCs w:val="0"/>
          <w:spacing w:val="1"/>
          <w:sz w:val="24"/>
          <w:szCs w:val="24"/>
        </w:rPr>
        <w:t>Закупівля мережевих комутаторів та маршрутизаторів за кодом CPV за ЄЗС ДК 021:2015 – 32420000-3 «Мережеве обладнання»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0E6DAE9"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D020CE">
        <w:rPr>
          <w:rFonts w:ascii="Times New Roman" w:hAnsi="Times New Roman" w:cs="Times New Roman"/>
          <w:sz w:val="24"/>
          <w:szCs w:val="24"/>
        </w:rPr>
        <w:t>7</w:t>
      </w:r>
      <w:r w:rsidR="001944C8">
        <w:rPr>
          <w:rFonts w:ascii="Times New Roman" w:hAnsi="Times New Roman" w:cs="Times New Roman"/>
          <w:sz w:val="24"/>
          <w:szCs w:val="24"/>
        </w:rPr>
        <w:t>-</w:t>
      </w:r>
      <w:r w:rsidR="00630B5E">
        <w:rPr>
          <w:rFonts w:ascii="Times New Roman" w:hAnsi="Times New Roman" w:cs="Times New Roman"/>
          <w:sz w:val="24"/>
          <w:szCs w:val="24"/>
        </w:rPr>
        <w:t>17</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D020CE">
        <w:rPr>
          <w:rFonts w:ascii="Times New Roman" w:hAnsi="Times New Roman" w:cs="Times New Roman"/>
          <w:sz w:val="24"/>
          <w:szCs w:val="24"/>
        </w:rPr>
        <w:t>0</w:t>
      </w:r>
      <w:r w:rsidR="00630B5E">
        <w:rPr>
          <w:rFonts w:ascii="Times New Roman" w:hAnsi="Times New Roman" w:cs="Times New Roman"/>
          <w:sz w:val="24"/>
          <w:szCs w:val="24"/>
        </w:rPr>
        <w:t>5254</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B2B093F"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D10481" w:rsidRPr="00D10481">
        <w:rPr>
          <w:b w:val="0"/>
          <w:bCs w:val="0"/>
          <w:spacing w:val="1"/>
          <w:sz w:val="24"/>
          <w:szCs w:val="24"/>
        </w:rPr>
        <w:t>Закупівля мережевих комутаторів та маршрутизаторів за кодом CPV за ЄЗС ДК 021:2015 – 32420000-3 «Мережеве обладнання»</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10236DB8" w14:textId="77777777" w:rsidR="00D020CE" w:rsidRPr="00D10481" w:rsidRDefault="00D020CE" w:rsidP="00D020CE">
      <w:pPr>
        <w:suppressAutoHyphens/>
        <w:ind w:firstLine="357"/>
        <w:jc w:val="center"/>
        <w:rPr>
          <w:rFonts w:ascii="Times New Roman" w:eastAsia="Aptos" w:hAnsi="Times New Roman" w:cs="Times New Roman"/>
          <w:b/>
          <w:color w:val="000000"/>
          <w:sz w:val="24"/>
          <w:szCs w:val="24"/>
        </w:rPr>
      </w:pPr>
      <w:r w:rsidRPr="00D10481">
        <w:rPr>
          <w:rFonts w:ascii="Times New Roman" w:eastAsia="Aptos" w:hAnsi="Times New Roman" w:cs="Times New Roman"/>
          <w:b/>
          <w:color w:val="000000"/>
          <w:sz w:val="24"/>
          <w:szCs w:val="24"/>
        </w:rPr>
        <w:t>ТЕХНІЧНІ ВИМОГИ</w:t>
      </w:r>
    </w:p>
    <w:p w14:paraId="03BA051F"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p>
    <w:tbl>
      <w:tblPr>
        <w:tblStyle w:val="61"/>
        <w:tblW w:w="10207" w:type="dxa"/>
        <w:tblInd w:w="-289" w:type="dxa"/>
        <w:tblLayout w:type="fixed"/>
        <w:tblLook w:val="04A0" w:firstRow="1" w:lastRow="0" w:firstColumn="1" w:lastColumn="0" w:noHBand="0" w:noVBand="1"/>
      </w:tblPr>
      <w:tblGrid>
        <w:gridCol w:w="703"/>
        <w:gridCol w:w="5251"/>
        <w:gridCol w:w="1701"/>
        <w:gridCol w:w="2552"/>
      </w:tblGrid>
      <w:tr w:rsidR="00D10481" w:rsidRPr="00D10481" w14:paraId="6BF8A0E9" w14:textId="77777777" w:rsidTr="00797CB6">
        <w:tc>
          <w:tcPr>
            <w:tcW w:w="703" w:type="dxa"/>
            <w:vAlign w:val="center"/>
          </w:tcPr>
          <w:p w14:paraId="126332A8"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 з/п</w:t>
            </w:r>
          </w:p>
        </w:tc>
        <w:tc>
          <w:tcPr>
            <w:tcW w:w="5251" w:type="dxa"/>
            <w:vAlign w:val="center"/>
          </w:tcPr>
          <w:p w14:paraId="029B19F2"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Назва товару</w:t>
            </w:r>
          </w:p>
        </w:tc>
        <w:tc>
          <w:tcPr>
            <w:tcW w:w="1701" w:type="dxa"/>
            <w:vAlign w:val="center"/>
          </w:tcPr>
          <w:p w14:paraId="133F1443"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Одиниця виміру</w:t>
            </w:r>
          </w:p>
        </w:tc>
        <w:tc>
          <w:tcPr>
            <w:tcW w:w="2552" w:type="dxa"/>
            <w:vAlign w:val="center"/>
          </w:tcPr>
          <w:p w14:paraId="75F8FC6C"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Кількість</w:t>
            </w:r>
          </w:p>
        </w:tc>
      </w:tr>
      <w:tr w:rsidR="00D10481" w:rsidRPr="00D10481" w14:paraId="3EEC5E62" w14:textId="77777777" w:rsidTr="00797CB6">
        <w:tc>
          <w:tcPr>
            <w:tcW w:w="703" w:type="dxa"/>
            <w:vAlign w:val="center"/>
          </w:tcPr>
          <w:p w14:paraId="3C41F737"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1</w:t>
            </w:r>
          </w:p>
        </w:tc>
        <w:tc>
          <w:tcPr>
            <w:tcW w:w="5251" w:type="dxa"/>
            <w:vAlign w:val="center"/>
          </w:tcPr>
          <w:p w14:paraId="49B5DA76" w14:textId="77777777" w:rsidR="00D10481" w:rsidRPr="00D10481" w:rsidRDefault="00D10481" w:rsidP="00797CB6">
            <w:pPr>
              <w:jc w:val="both"/>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Комутатор</w:t>
            </w:r>
          </w:p>
        </w:tc>
        <w:tc>
          <w:tcPr>
            <w:tcW w:w="1701" w:type="dxa"/>
            <w:vAlign w:val="center"/>
          </w:tcPr>
          <w:p w14:paraId="608AC6C5"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шт.</w:t>
            </w:r>
          </w:p>
        </w:tc>
        <w:tc>
          <w:tcPr>
            <w:tcW w:w="2552" w:type="dxa"/>
            <w:vAlign w:val="center"/>
          </w:tcPr>
          <w:p w14:paraId="46F84E9B"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22</w:t>
            </w:r>
          </w:p>
        </w:tc>
      </w:tr>
      <w:tr w:rsidR="00D10481" w:rsidRPr="00D10481" w14:paraId="214B19E1" w14:textId="77777777" w:rsidTr="00797CB6">
        <w:tc>
          <w:tcPr>
            <w:tcW w:w="703" w:type="dxa"/>
            <w:vAlign w:val="center"/>
          </w:tcPr>
          <w:p w14:paraId="0CEDB9C9" w14:textId="77777777" w:rsidR="00D10481" w:rsidRPr="00D10481" w:rsidRDefault="00D10481" w:rsidP="00797CB6">
            <w:pPr>
              <w:jc w:val="center"/>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2</w:t>
            </w:r>
          </w:p>
        </w:tc>
        <w:tc>
          <w:tcPr>
            <w:tcW w:w="5251" w:type="dxa"/>
            <w:vAlign w:val="center"/>
          </w:tcPr>
          <w:p w14:paraId="16FD01E1" w14:textId="77777777" w:rsidR="00D10481" w:rsidRPr="00D10481" w:rsidRDefault="00D10481" w:rsidP="00797CB6">
            <w:pPr>
              <w:jc w:val="both"/>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Маршрутизатор</w:t>
            </w:r>
          </w:p>
        </w:tc>
        <w:tc>
          <w:tcPr>
            <w:tcW w:w="1701" w:type="dxa"/>
            <w:vAlign w:val="center"/>
          </w:tcPr>
          <w:p w14:paraId="033DCE83" w14:textId="77777777" w:rsidR="00D10481" w:rsidRPr="00D10481" w:rsidRDefault="00D10481" w:rsidP="00797CB6">
            <w:pPr>
              <w:jc w:val="center"/>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шт.</w:t>
            </w:r>
          </w:p>
        </w:tc>
        <w:tc>
          <w:tcPr>
            <w:tcW w:w="2552" w:type="dxa"/>
            <w:vAlign w:val="center"/>
          </w:tcPr>
          <w:p w14:paraId="75282CC9" w14:textId="77777777" w:rsidR="00D10481" w:rsidRPr="00D10481" w:rsidRDefault="00D10481" w:rsidP="00797CB6">
            <w:pPr>
              <w:jc w:val="center"/>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8</w:t>
            </w:r>
          </w:p>
        </w:tc>
      </w:tr>
    </w:tbl>
    <w:p w14:paraId="592C84B5"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p>
    <w:p w14:paraId="1BEC07E5"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r w:rsidRPr="00D10481">
        <w:rPr>
          <w:rFonts w:ascii="Times New Roman" w:hAnsi="Times New Roman" w:cs="Times New Roman"/>
          <w:b/>
          <w:bCs/>
          <w:spacing w:val="-1"/>
          <w:sz w:val="24"/>
          <w:szCs w:val="24"/>
        </w:rPr>
        <w:t>СПЕЦИФІКАЦІЯ ТОВАРУ</w:t>
      </w:r>
    </w:p>
    <w:p w14:paraId="48F7A47F"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p>
    <w:tbl>
      <w:tblPr>
        <w:tblW w:w="103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0"/>
        <w:gridCol w:w="2220"/>
        <w:gridCol w:w="3330"/>
        <w:gridCol w:w="1215"/>
        <w:gridCol w:w="2894"/>
      </w:tblGrid>
      <w:tr w:rsidR="00D10481" w:rsidRPr="00D10481" w14:paraId="6854324D" w14:textId="77777777" w:rsidTr="00797CB6">
        <w:trPr>
          <w:trHeight w:val="596"/>
          <w:jc w:val="center"/>
        </w:trPr>
        <w:tc>
          <w:tcPr>
            <w:tcW w:w="690" w:type="dxa"/>
            <w:shd w:val="clear" w:color="auto" w:fill="B7B7B7"/>
            <w:tcMar>
              <w:top w:w="100" w:type="dxa"/>
              <w:left w:w="100" w:type="dxa"/>
              <w:bottom w:w="100" w:type="dxa"/>
              <w:right w:w="100" w:type="dxa"/>
            </w:tcMar>
            <w:vAlign w:val="center"/>
          </w:tcPr>
          <w:p w14:paraId="5F6E80D7"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 з/п</w:t>
            </w:r>
          </w:p>
        </w:tc>
        <w:tc>
          <w:tcPr>
            <w:tcW w:w="5550" w:type="dxa"/>
            <w:gridSpan w:val="2"/>
            <w:shd w:val="clear" w:color="auto" w:fill="B7B7B7"/>
            <w:tcMar>
              <w:top w:w="100" w:type="dxa"/>
              <w:left w:w="100" w:type="dxa"/>
              <w:bottom w:w="100" w:type="dxa"/>
              <w:right w:w="100" w:type="dxa"/>
            </w:tcMar>
            <w:vAlign w:val="center"/>
          </w:tcPr>
          <w:p w14:paraId="2D5196BE"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Найменування обладнання, технічні характеристики та вимоги до обладнання</w:t>
            </w:r>
          </w:p>
        </w:tc>
        <w:tc>
          <w:tcPr>
            <w:tcW w:w="1215" w:type="dxa"/>
            <w:shd w:val="clear" w:color="auto" w:fill="B7B7B7"/>
            <w:tcMar>
              <w:top w:w="100" w:type="dxa"/>
              <w:left w:w="100" w:type="dxa"/>
              <w:bottom w:w="100" w:type="dxa"/>
              <w:right w:w="100" w:type="dxa"/>
            </w:tcMar>
            <w:vAlign w:val="center"/>
          </w:tcPr>
          <w:p w14:paraId="2E10BA4F"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Одиниця виміру</w:t>
            </w:r>
          </w:p>
        </w:tc>
        <w:tc>
          <w:tcPr>
            <w:tcW w:w="2894" w:type="dxa"/>
            <w:shd w:val="clear" w:color="auto" w:fill="B7B7B7"/>
            <w:tcMar>
              <w:top w:w="100" w:type="dxa"/>
              <w:left w:w="100" w:type="dxa"/>
              <w:bottom w:w="100" w:type="dxa"/>
              <w:right w:w="100" w:type="dxa"/>
            </w:tcMar>
            <w:vAlign w:val="center"/>
          </w:tcPr>
          <w:p w14:paraId="52C846E2"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Кількість</w:t>
            </w:r>
          </w:p>
        </w:tc>
      </w:tr>
      <w:tr w:rsidR="00D10481" w:rsidRPr="00D10481" w14:paraId="1EEB53A4" w14:textId="77777777" w:rsidTr="00797CB6">
        <w:trPr>
          <w:trHeight w:val="744"/>
          <w:jc w:val="center"/>
        </w:trPr>
        <w:tc>
          <w:tcPr>
            <w:tcW w:w="690" w:type="dxa"/>
            <w:tcMar>
              <w:top w:w="100" w:type="dxa"/>
              <w:left w:w="100" w:type="dxa"/>
              <w:bottom w:w="100" w:type="dxa"/>
              <w:right w:w="100" w:type="dxa"/>
            </w:tcMar>
            <w:vAlign w:val="center"/>
          </w:tcPr>
          <w:p w14:paraId="011AAAE3"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1.</w:t>
            </w:r>
          </w:p>
        </w:tc>
        <w:tc>
          <w:tcPr>
            <w:tcW w:w="5550" w:type="dxa"/>
            <w:gridSpan w:val="2"/>
            <w:tcMar>
              <w:top w:w="100" w:type="dxa"/>
              <w:left w:w="100" w:type="dxa"/>
              <w:bottom w:w="100" w:type="dxa"/>
              <w:right w:w="100" w:type="dxa"/>
            </w:tcMar>
            <w:vAlign w:val="center"/>
          </w:tcPr>
          <w:p w14:paraId="771A840E"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Комутатор Cisco Catalyst 9200L 24-port data only, Network Essentials або еквівалент, у складі:</w:t>
            </w:r>
          </w:p>
          <w:p w14:paraId="4F48F2C4"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CON-SNT-C920L24T</w:t>
            </w:r>
            <w:r w:rsidRPr="00D10481">
              <w:rPr>
                <w:rFonts w:ascii="Times New Roman" w:eastAsia="Times New Roman" w:hAnsi="Times New Roman" w:cs="Times New Roman"/>
                <w:sz w:val="24"/>
                <w:szCs w:val="24"/>
              </w:rPr>
              <w:t xml:space="preserve"> або еквівалент – 1 шт.;</w:t>
            </w:r>
          </w:p>
          <w:p w14:paraId="3C961AF3"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C9200L-DNA-E-24-3Y</w:t>
            </w:r>
            <w:r w:rsidRPr="00D10481">
              <w:rPr>
                <w:rFonts w:ascii="Times New Roman" w:eastAsia="Times New Roman" w:hAnsi="Times New Roman" w:cs="Times New Roman"/>
                <w:sz w:val="24"/>
                <w:szCs w:val="24"/>
              </w:rPr>
              <w:t xml:space="preserve"> або еквівалент – 1 шт.;</w:t>
            </w:r>
          </w:p>
          <w:p w14:paraId="6594BCA2"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PWR-C5-125WAC/2</w:t>
            </w:r>
            <w:r w:rsidRPr="00D10481">
              <w:rPr>
                <w:rFonts w:ascii="Times New Roman" w:eastAsia="Times New Roman" w:hAnsi="Times New Roman" w:cs="Times New Roman"/>
                <w:sz w:val="24"/>
                <w:szCs w:val="24"/>
              </w:rPr>
              <w:t xml:space="preserve"> або еквівалент – 1 шт.;</w:t>
            </w:r>
          </w:p>
          <w:p w14:paraId="16158352"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C9200L-STACK-KIT</w:t>
            </w:r>
            <w:r w:rsidRPr="00D10481">
              <w:rPr>
                <w:rFonts w:ascii="Times New Roman" w:eastAsia="Times New Roman" w:hAnsi="Times New Roman" w:cs="Times New Roman"/>
                <w:sz w:val="24"/>
                <w:szCs w:val="24"/>
              </w:rPr>
              <w:t xml:space="preserve"> або еквівалент – 1 шт.;</w:t>
            </w:r>
          </w:p>
          <w:p w14:paraId="525BACEA"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SFP-H10GB-CU3M=</w:t>
            </w:r>
            <w:r w:rsidRPr="00D10481">
              <w:rPr>
                <w:rFonts w:ascii="Times New Roman" w:eastAsia="Times New Roman" w:hAnsi="Times New Roman" w:cs="Times New Roman"/>
                <w:sz w:val="24"/>
                <w:szCs w:val="24"/>
              </w:rPr>
              <w:t xml:space="preserve"> або еквівалент – 4 шт.</w:t>
            </w:r>
          </w:p>
        </w:tc>
        <w:tc>
          <w:tcPr>
            <w:tcW w:w="1215" w:type="dxa"/>
            <w:tcMar>
              <w:top w:w="100" w:type="dxa"/>
              <w:left w:w="100" w:type="dxa"/>
              <w:bottom w:w="100" w:type="dxa"/>
              <w:right w:w="100" w:type="dxa"/>
            </w:tcMar>
            <w:vAlign w:val="center"/>
          </w:tcPr>
          <w:p w14:paraId="22057BD4"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Штука</w:t>
            </w:r>
          </w:p>
        </w:tc>
        <w:tc>
          <w:tcPr>
            <w:tcW w:w="2894" w:type="dxa"/>
            <w:tcMar>
              <w:top w:w="100" w:type="dxa"/>
              <w:left w:w="100" w:type="dxa"/>
              <w:bottom w:w="100" w:type="dxa"/>
              <w:right w:w="100" w:type="dxa"/>
            </w:tcMar>
            <w:vAlign w:val="center"/>
          </w:tcPr>
          <w:p w14:paraId="476C404B"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22</w:t>
            </w:r>
          </w:p>
        </w:tc>
      </w:tr>
      <w:tr w:rsidR="00D10481" w:rsidRPr="00D10481" w14:paraId="043AB5B5" w14:textId="77777777" w:rsidTr="00797CB6">
        <w:trPr>
          <w:trHeight w:val="237"/>
          <w:jc w:val="center"/>
        </w:trPr>
        <w:tc>
          <w:tcPr>
            <w:tcW w:w="690" w:type="dxa"/>
            <w:tcMar>
              <w:top w:w="100" w:type="dxa"/>
              <w:left w:w="100" w:type="dxa"/>
              <w:bottom w:w="100" w:type="dxa"/>
              <w:right w:w="100" w:type="dxa"/>
            </w:tcMar>
          </w:tcPr>
          <w:p w14:paraId="44F47E9D"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9659" w:type="dxa"/>
            <w:gridSpan w:val="4"/>
            <w:tcMar>
              <w:top w:w="100" w:type="dxa"/>
              <w:left w:w="100" w:type="dxa"/>
              <w:bottom w:w="100" w:type="dxa"/>
              <w:right w:w="100" w:type="dxa"/>
            </w:tcMar>
          </w:tcPr>
          <w:p w14:paraId="72AA242D"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Технічні характеристики та вимоги до обладнання</w:t>
            </w:r>
          </w:p>
        </w:tc>
      </w:tr>
      <w:tr w:rsidR="00D10481" w:rsidRPr="00D10481" w14:paraId="589F6EDF" w14:textId="77777777" w:rsidTr="00797CB6">
        <w:trPr>
          <w:trHeight w:val="420"/>
          <w:jc w:val="center"/>
        </w:trPr>
        <w:tc>
          <w:tcPr>
            <w:tcW w:w="690" w:type="dxa"/>
            <w:vMerge w:val="restart"/>
            <w:tcMar>
              <w:top w:w="100" w:type="dxa"/>
              <w:left w:w="100" w:type="dxa"/>
              <w:bottom w:w="100" w:type="dxa"/>
              <w:right w:w="100" w:type="dxa"/>
            </w:tcMar>
          </w:tcPr>
          <w:p w14:paraId="5B598ED5"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15C9766B"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Загальні вимоги</w:t>
            </w:r>
          </w:p>
        </w:tc>
        <w:tc>
          <w:tcPr>
            <w:tcW w:w="7439" w:type="dxa"/>
            <w:gridSpan w:val="3"/>
            <w:tcMar>
              <w:top w:w="100" w:type="dxa"/>
              <w:left w:w="100" w:type="dxa"/>
              <w:bottom w:w="100" w:type="dxa"/>
              <w:right w:w="100" w:type="dxa"/>
            </w:tcMar>
          </w:tcPr>
          <w:p w14:paraId="6CD0B611"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Встановлення у шафу:</w:t>
            </w:r>
          </w:p>
          <w:p w14:paraId="1DE5AA28"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для встановлення у стандартні 19’ монтажні шафи;</w:t>
            </w:r>
          </w:p>
          <w:p w14:paraId="0EBD7D4D"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висота не більше ніж 1 RU;</w:t>
            </w:r>
          </w:p>
          <w:p w14:paraId="167CB25D"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Живлення обладнання:</w:t>
            </w:r>
          </w:p>
          <w:p w14:paraId="48D366E3"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незалежний блок живлення типу AC (змінного струму), не гірше ніж 125 Вт, 2 шт.;</w:t>
            </w:r>
          </w:p>
          <w:p w14:paraId="711EE8C8"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Порти та інтерфейси:</w:t>
            </w:r>
          </w:p>
          <w:p w14:paraId="49D52416"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Портів типу 10/100/1000 Mbps Ethernet RJ-45 – не менше ніж 24шт.;</w:t>
            </w:r>
          </w:p>
          <w:p w14:paraId="10D63B55"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Портів типу 1 Gbps Ethernet SFP – не менше ніж 4 шт.;</w:t>
            </w:r>
          </w:p>
          <w:p w14:paraId="05AEEF78"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StackWise-80 Stacking Ports;</w:t>
            </w:r>
          </w:p>
          <w:p w14:paraId="23257BED"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Обов’язково в комплекті модуль для стекування;</w:t>
            </w:r>
          </w:p>
          <w:p w14:paraId="701008D0"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Обов’язково в комплекті стек-кабель довжиною – не менше ніж 50 см;</w:t>
            </w:r>
          </w:p>
          <w:p w14:paraId="322F0BF9"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Management Port, RJ-45, 4-pair Cat 5 UTP;</w:t>
            </w:r>
          </w:p>
          <w:p w14:paraId="51EB2566"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Management Console Port, RJ45-to-DB9, USB-C, USB adaptor;</w:t>
            </w:r>
          </w:p>
          <w:p w14:paraId="4506A10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Додаткові модулі та кабелі: </w:t>
            </w:r>
          </w:p>
          <w:p w14:paraId="2A5B933C"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10GBASE-CU мідний DAC кабель, довжиною не менше ніж 3м – не менше ніж 4 шт.;</w:t>
            </w:r>
          </w:p>
          <w:p w14:paraId="162C1F8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Комутаційна здатність – не менше ніж 56 Gbps;</w:t>
            </w:r>
          </w:p>
          <w:p w14:paraId="35C2DA8F"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Швидкість пересилання – не менше ніж 41.66 Mpps;</w:t>
            </w:r>
          </w:p>
          <w:p w14:paraId="0F47693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Розмір таблиці MAC-адрес – не менше ніж 16 000 MAC-адрес;</w:t>
            </w:r>
          </w:p>
          <w:p w14:paraId="419CC8A3"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Загальна кількість IPv4 маршрутів – не гірше ніж 11 000 (8 000 direct та 3 000 indirect);</w:t>
            </w:r>
          </w:p>
          <w:p w14:paraId="36C9E4A4"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IPv6 routing записів – не менше ніж 1 500;</w:t>
            </w:r>
          </w:p>
          <w:p w14:paraId="7A552FB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Multicast routing записів – не менше ніж 1 000;</w:t>
            </w:r>
          </w:p>
          <w:p w14:paraId="31151611"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QoS записів – не менше ніж 1 000;</w:t>
            </w:r>
          </w:p>
          <w:p w14:paraId="10FC4AD8"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ACL записів – не менше ніж 1 500;</w:t>
            </w:r>
          </w:p>
          <w:p w14:paraId="39CFEA94"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Ємність пакетного буферу – не менше ніж 6 Мбайт;</w:t>
            </w:r>
          </w:p>
          <w:p w14:paraId="78670CC0"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NetFlow записів – не менше ніж 16 000;</w:t>
            </w:r>
          </w:p>
          <w:p w14:paraId="24610B8D"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Об’єм оперативної пам’яті – не менше ніж 2 Гбайт;</w:t>
            </w:r>
          </w:p>
          <w:p w14:paraId="3A04E5F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Об’єм флеш пам’яті – не менше ніж 4 Гбайт;</w:t>
            </w:r>
          </w:p>
          <w:p w14:paraId="68F7AC24"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VLAN – не менше ніж 4 094;</w:t>
            </w:r>
          </w:p>
          <w:p w14:paraId="0093D8BE"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Загальна кількість SVI – не менше ніж 512;</w:t>
            </w:r>
          </w:p>
          <w:p w14:paraId="42EEA792"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Розмір Jumbo фрейму – не менше ніж 9 198 байт.</w:t>
            </w:r>
          </w:p>
        </w:tc>
      </w:tr>
      <w:tr w:rsidR="00D10481" w:rsidRPr="00D10481" w14:paraId="78B6FC78" w14:textId="77777777" w:rsidTr="00797CB6">
        <w:trPr>
          <w:trHeight w:val="420"/>
          <w:jc w:val="center"/>
        </w:trPr>
        <w:tc>
          <w:tcPr>
            <w:tcW w:w="690" w:type="dxa"/>
            <w:vMerge/>
            <w:tcMar>
              <w:top w:w="100" w:type="dxa"/>
              <w:left w:w="100" w:type="dxa"/>
              <w:bottom w:w="100" w:type="dxa"/>
              <w:right w:w="100" w:type="dxa"/>
            </w:tcMar>
          </w:tcPr>
          <w:p w14:paraId="776D365A"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33CB16A1"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Проліцензовані функціональні можливості</w:t>
            </w:r>
          </w:p>
        </w:tc>
        <w:tc>
          <w:tcPr>
            <w:tcW w:w="7439" w:type="dxa"/>
            <w:gridSpan w:val="3"/>
            <w:tcMar>
              <w:top w:w="100" w:type="dxa"/>
              <w:left w:w="100" w:type="dxa"/>
              <w:bottom w:w="100" w:type="dxa"/>
              <w:right w:w="100" w:type="dxa"/>
            </w:tcMar>
          </w:tcPr>
          <w:p w14:paraId="112FE2C0"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 Essentials;</w:t>
            </w:r>
          </w:p>
          <w:p w14:paraId="751AA56E"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 Licensing:</w:t>
            </w:r>
          </w:p>
          <w:p w14:paraId="1A496A52"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w:t>
            </w:r>
          </w:p>
          <w:p w14:paraId="0D807AEC"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Routed Access (RIP, EIGRP Stub, OSPF - 1000 routes);</w:t>
            </w:r>
          </w:p>
          <w:p w14:paraId="14F86CE1"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PBR;</w:t>
            </w:r>
          </w:p>
          <w:p w14:paraId="1975AF9C"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PIM Stub Multicast (1000 routes);</w:t>
            </w:r>
          </w:p>
          <w:p w14:paraId="52DEAC2B"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PVLAN;</w:t>
            </w:r>
          </w:p>
          <w:p w14:paraId="437FC5D0"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VRRP;</w:t>
            </w:r>
          </w:p>
          <w:p w14:paraId="17D48E6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CDP;</w:t>
            </w:r>
          </w:p>
          <w:p w14:paraId="50672CED"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QoS;</w:t>
            </w:r>
          </w:p>
          <w:p w14:paraId="21336C72"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FHS;</w:t>
            </w:r>
          </w:p>
          <w:p w14:paraId="4CD41DEA"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802.1X;</w:t>
            </w:r>
          </w:p>
          <w:p w14:paraId="008C854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MACsec-128;</w:t>
            </w:r>
          </w:p>
          <w:p w14:paraId="29E2DF5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CoPP;</w:t>
            </w:r>
          </w:p>
          <w:p w14:paraId="7FA017C6"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SXP;</w:t>
            </w:r>
          </w:p>
          <w:p w14:paraId="3BBD1196"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 SLA Responder;</w:t>
            </w:r>
          </w:p>
          <w:p w14:paraId="5F587318"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SSO;</w:t>
            </w:r>
          </w:p>
          <w:p w14:paraId="5F44441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NETCONF;</w:t>
            </w:r>
          </w:p>
          <w:p w14:paraId="58F6426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RESTCONF;</w:t>
            </w:r>
          </w:p>
          <w:p w14:paraId="7A5DA3BB"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gRPC;</w:t>
            </w:r>
          </w:p>
          <w:p w14:paraId="755F3FFB"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YANG;</w:t>
            </w:r>
          </w:p>
          <w:p w14:paraId="6226748C"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PnP Agent;</w:t>
            </w:r>
          </w:p>
          <w:p w14:paraId="7851FC24"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ZTP/Open PnP;</w:t>
            </w:r>
          </w:p>
          <w:p w14:paraId="7C42F6B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GuestShell (On-Box Python);</w:t>
            </w:r>
          </w:p>
          <w:p w14:paraId="3000FF6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Model-driven telemetry;</w:t>
            </w:r>
          </w:p>
          <w:p w14:paraId="31525880"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sampled NetFlow;</w:t>
            </w:r>
          </w:p>
          <w:p w14:paraId="3F19F0AE"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SPAN;</w:t>
            </w:r>
          </w:p>
          <w:p w14:paraId="6133164E"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RSPAN;</w:t>
            </w:r>
          </w:p>
          <w:p w14:paraId="7FEB9908"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DNA Licensing:</w:t>
            </w:r>
          </w:p>
          <w:p w14:paraId="0C5ABAED"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Full Flexible NetFlow;</w:t>
            </w:r>
          </w:p>
          <w:p w14:paraId="0FC1C2A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IOS Embedded Event Manager (EEM);</w:t>
            </w:r>
          </w:p>
          <w:p w14:paraId="175669FA"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Software Image Management (SWIM);</w:t>
            </w:r>
          </w:p>
          <w:p w14:paraId="692C4A59"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Overall health dashboard;</w:t>
            </w:r>
          </w:p>
          <w:p w14:paraId="632D30D1"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Overall health dashboard for Device, Network, Application and Client for 24 hours only;</w:t>
            </w:r>
          </w:p>
          <w:p w14:paraId="57B69EC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 Plug and Play (PnP) provisioning application;</w:t>
            </w:r>
          </w:p>
          <w:p w14:paraId="13F57AB4"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Out of box reports;</w:t>
            </w:r>
          </w:p>
          <w:p w14:paraId="4B711964"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monitoring for Catalyst;</w:t>
            </w:r>
          </w:p>
          <w:p w14:paraId="4CE7EE8A"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Строк дії DNA ліцензій не менше ніж 3 роки.</w:t>
            </w:r>
          </w:p>
        </w:tc>
      </w:tr>
      <w:tr w:rsidR="00D10481" w:rsidRPr="00D10481" w14:paraId="5BCCBF4F" w14:textId="77777777" w:rsidTr="00797CB6">
        <w:trPr>
          <w:trHeight w:val="420"/>
          <w:jc w:val="center"/>
        </w:trPr>
        <w:tc>
          <w:tcPr>
            <w:tcW w:w="690" w:type="dxa"/>
            <w:vMerge/>
            <w:tcMar>
              <w:top w:w="100" w:type="dxa"/>
              <w:left w:w="100" w:type="dxa"/>
              <w:bottom w:w="100" w:type="dxa"/>
              <w:right w:w="100" w:type="dxa"/>
            </w:tcMar>
          </w:tcPr>
          <w:p w14:paraId="1F008DB8"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734984B6"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Підтримувані протоколи та стандарти (для лінійки)</w:t>
            </w:r>
          </w:p>
        </w:tc>
        <w:tc>
          <w:tcPr>
            <w:tcW w:w="7439" w:type="dxa"/>
            <w:gridSpan w:val="3"/>
            <w:tcMar>
              <w:top w:w="100" w:type="dxa"/>
              <w:left w:w="100" w:type="dxa"/>
              <w:bottom w:w="100" w:type="dxa"/>
              <w:right w:w="100" w:type="dxa"/>
            </w:tcMar>
          </w:tcPr>
          <w:p w14:paraId="66753526"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Management:</w:t>
            </w:r>
          </w:p>
          <w:p w14:paraId="3984D68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BRIDGE-MIB;</w:t>
            </w:r>
          </w:p>
          <w:p w14:paraId="3827168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CISCO-NHRP-EXT-MIB;</w:t>
            </w:r>
          </w:p>
          <w:p w14:paraId="4E98A4F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CISCO-BRIDGE-EXT-MIB;</w:t>
            </w:r>
          </w:p>
          <w:p w14:paraId="50FE7D9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CISCO-NTP-MIB;</w:t>
            </w:r>
          </w:p>
          <w:p w14:paraId="4E24D11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CISCO-BULK-FILE-MIB;</w:t>
            </w:r>
          </w:p>
          <w:p w14:paraId="7577156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CISCO-PAGP-MIB;</w:t>
            </w:r>
          </w:p>
          <w:p w14:paraId="747D28B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CISCO-CABLE-DIAG-MIB;</w:t>
            </w:r>
          </w:p>
          <w:p w14:paraId="00910BD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CISCO-PORT-SECURITY-MIB;</w:t>
            </w:r>
          </w:p>
          <w:p w14:paraId="57810D7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CISCO-CALLHOME-MIB;</w:t>
            </w:r>
          </w:p>
          <w:p w14:paraId="0CEDF1C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CISCO-PORT-STORM-CONTROL-MIB;</w:t>
            </w:r>
          </w:p>
          <w:p w14:paraId="1F6083E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CISCO-CEF-MIB;</w:t>
            </w:r>
          </w:p>
          <w:p w14:paraId="54B037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CISCO-POWER-ETHERNET-EXT-MIB;</w:t>
            </w:r>
          </w:p>
          <w:p w14:paraId="075BED0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CISCO-CIRCUIT-INTERFACE-MIB;</w:t>
            </w:r>
          </w:p>
          <w:p w14:paraId="6CA20EC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CISCO-PRIVATE-VLAN-MIB;</w:t>
            </w:r>
          </w:p>
          <w:p w14:paraId="201D8FD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CISCO-CONFIG-COPY-MIB;</w:t>
            </w:r>
          </w:p>
          <w:p w14:paraId="29249AC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CISCO-PROCESS-MIB;</w:t>
            </w:r>
          </w:p>
          <w:p w14:paraId="7C5386E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CISCO-CONFIG-MAN-MIB;</w:t>
            </w:r>
          </w:p>
          <w:p w14:paraId="2B6C5E3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CISCO-PRODUCTS-MIB;</w:t>
            </w:r>
          </w:p>
          <w:p w14:paraId="7766F9E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CISCO-DEVICE-LOCATION-MIB;</w:t>
            </w:r>
          </w:p>
          <w:p w14:paraId="448F282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CISCO-RF-MIB;</w:t>
            </w:r>
          </w:p>
          <w:p w14:paraId="43035FD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CISCO-DHCP-SNOOPING-MIB;</w:t>
            </w:r>
          </w:p>
          <w:p w14:paraId="737FA8F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CISCO-RTP-METRICS-MIB;</w:t>
            </w:r>
          </w:p>
          <w:p w14:paraId="038310D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CISCO-EIGRP-MIB;</w:t>
            </w:r>
          </w:p>
          <w:p w14:paraId="56299F4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CISCO-RTTMON-ICMP-MIB;</w:t>
            </w:r>
          </w:p>
          <w:p w14:paraId="15CF85B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CISCO-EMBEDDED-EVENT-MGR-MIB;</w:t>
            </w:r>
          </w:p>
          <w:p w14:paraId="55487B3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CISCO-STACKWISE-MIB;</w:t>
            </w:r>
          </w:p>
          <w:p w14:paraId="58AAE0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CISCO-ENTITY-FRU-CONTROL-MIB;</w:t>
            </w:r>
          </w:p>
          <w:p w14:paraId="2E8164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CISCO-STP-EXTENSIONS-MIB;</w:t>
            </w:r>
          </w:p>
          <w:p w14:paraId="35073F5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CISCO-ENTITY-SENSOR-MIB;</w:t>
            </w:r>
          </w:p>
          <w:p w14:paraId="7214AF6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CISCO-SYSLOG-MIB;</w:t>
            </w:r>
          </w:p>
          <w:p w14:paraId="1E9A36B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CISCO-ENTITY-VENDORTYPE-OID-MIB;</w:t>
            </w:r>
          </w:p>
          <w:p w14:paraId="1D3125B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CISCO-TCP-MIB;</w:t>
            </w:r>
          </w:p>
          <w:p w14:paraId="0180387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CISCO-ERR-DISABLE-MIB;</w:t>
            </w:r>
          </w:p>
          <w:p w14:paraId="2F03116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CISCO-UDLDP-MIB;</w:t>
            </w:r>
          </w:p>
          <w:p w14:paraId="23BFBD5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CISCO-FLASH-MIB;</w:t>
            </w:r>
          </w:p>
          <w:p w14:paraId="0DD0846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CISCO-VLAN-IFTABLE-RELATIONSHIP- MIB;</w:t>
            </w:r>
          </w:p>
          <w:p w14:paraId="1374E71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CISCO-FLOW-MONITOR-MIB;</w:t>
            </w:r>
          </w:p>
          <w:p w14:paraId="06D1E98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ENTITY-MIB;</w:t>
            </w:r>
          </w:p>
          <w:p w14:paraId="3DF8E0E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CISCO-FTP-CLIENT-MIB;</w:t>
            </w:r>
          </w:p>
          <w:p w14:paraId="0FD8117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HC-ALARM-MIB;</w:t>
            </w:r>
          </w:p>
          <w:p w14:paraId="6F22A57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CISCO-HSRP-EXT-MIB;</w:t>
            </w:r>
          </w:p>
          <w:p w14:paraId="1F31EE7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HC-RMON-MIB;</w:t>
            </w:r>
          </w:p>
          <w:p w14:paraId="599716C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CISCO-HSRP-MIB;</w:t>
            </w:r>
          </w:p>
          <w:p w14:paraId="1452140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IEEE8023-LAG-MIB;</w:t>
            </w:r>
          </w:p>
          <w:p w14:paraId="2BD6554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CISCO-IETF-BFD-MIB;</w:t>
            </w:r>
          </w:p>
          <w:p w14:paraId="5892B31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IF-MIB;</w:t>
            </w:r>
          </w:p>
          <w:p w14:paraId="0EECCCC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CISCO-IETF-PPVPN-MPLS-VPN-MIB;</w:t>
            </w:r>
          </w:p>
          <w:p w14:paraId="2D789ED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IP-FORWARD-MIB;</w:t>
            </w:r>
          </w:p>
          <w:p w14:paraId="0772B94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CISCO-IETF-PW-MPLS-MIB;</w:t>
            </w:r>
          </w:p>
          <w:p w14:paraId="573ADFD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IP-MIB;</w:t>
            </w:r>
          </w:p>
          <w:p w14:paraId="08A9148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CISCO-IF-EXTENSION-MIB;</w:t>
            </w:r>
          </w:p>
          <w:p w14:paraId="5985D42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LLDP-EXT-MED-MIB;</w:t>
            </w:r>
          </w:p>
          <w:p w14:paraId="7E28330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CISCO-IGMP-FILTER-MIB;</w:t>
            </w:r>
          </w:p>
          <w:p w14:paraId="673A9E7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LLDP-MIB;</w:t>
            </w:r>
          </w:p>
          <w:p w14:paraId="4EDDE5B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CISCO-IMAGE-LICENSE-MGMT-MIB;</w:t>
            </w:r>
          </w:p>
          <w:p w14:paraId="31C276F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MAU-MIB;</w:t>
            </w:r>
          </w:p>
          <w:p w14:paraId="0C59F71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CISCO-IMAGE-MIB;</w:t>
            </w:r>
          </w:p>
          <w:p w14:paraId="7269B4C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MPLS-L3VPN-STD-MIB;</w:t>
            </w:r>
          </w:p>
          <w:p w14:paraId="5C4A0F3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CISCO-IP-CBR-METRICS-MIB;</w:t>
            </w:r>
          </w:p>
          <w:p w14:paraId="203581E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MPLS-LSR-STD-MIB;</w:t>
            </w:r>
          </w:p>
          <w:p w14:paraId="3FC4354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CISCO-IP-STAT-MIB;</w:t>
            </w:r>
          </w:p>
          <w:p w14:paraId="653BF85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MPLS-VPN-MIB;</w:t>
            </w:r>
          </w:p>
          <w:p w14:paraId="48B434B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CISCO-IP-TAP-MIB;</w:t>
            </w:r>
          </w:p>
          <w:p w14:paraId="4457596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OLD-CISCO-CHASSIS-MIB;</w:t>
            </w:r>
          </w:p>
          <w:p w14:paraId="660C8C3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CISCO-IP-URPF-MIB;</w:t>
            </w:r>
          </w:p>
          <w:p w14:paraId="0A6D149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OLD-CISCO-CPU-MIB;</w:t>
            </w:r>
          </w:p>
          <w:p w14:paraId="15BBDE8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CISCO-IPSEC-FLOW-MONITOR-MIB;</w:t>
            </w:r>
          </w:p>
          <w:p w14:paraId="63552D5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OLD-CISCO-INTERFACES-MIB;</w:t>
            </w:r>
          </w:p>
          <w:p w14:paraId="55BA7C2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CISCO-IPSEC-MIB;</w:t>
            </w:r>
          </w:p>
          <w:p w14:paraId="6E3A2B4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OLD-CISCO-IP-MIB;</w:t>
            </w:r>
          </w:p>
          <w:p w14:paraId="489A27D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CISCO-IPSEC-PROVISIONING-MIB;</w:t>
            </w:r>
          </w:p>
          <w:p w14:paraId="5CF74B0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OLD-CISCO-MEMORY-MIB;</w:t>
            </w:r>
          </w:p>
          <w:p w14:paraId="1606494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CISCO-IPSLA-AUTOMEASURE-MIB;</w:t>
            </w:r>
          </w:p>
          <w:p w14:paraId="0A35D45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OLD-CISCO-SYS-MIB;</w:t>
            </w:r>
          </w:p>
          <w:p w14:paraId="4E1F627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CISCO-IPSLA-ECHO-MIB;</w:t>
            </w:r>
          </w:p>
          <w:p w14:paraId="251097A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OLD-CISCO-TCP-MIB;</w:t>
            </w:r>
          </w:p>
          <w:p w14:paraId="08963B7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CISCO-IPSLA-JITTER-MIB;</w:t>
            </w:r>
          </w:p>
          <w:p w14:paraId="0673B8E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OLD-CISCO-TS-MIB;</w:t>
            </w:r>
          </w:p>
          <w:p w14:paraId="2089D8C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CISCO-L2-CONTROL-MIB;</w:t>
            </w:r>
          </w:p>
          <w:p w14:paraId="634F0A9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POWER-ETHERNET-MIB;</w:t>
            </w:r>
          </w:p>
          <w:p w14:paraId="6A56F03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CISCO-L2L3-INTERFACE-CONFIG-MIB;</w:t>
            </w:r>
          </w:p>
          <w:p w14:paraId="244A5D4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RFC1213-MIB;</w:t>
            </w:r>
          </w:p>
          <w:p w14:paraId="53E82FF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CISCO-LAG-MIB;</w:t>
            </w:r>
          </w:p>
          <w:p w14:paraId="0D85477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RMON-MIB;</w:t>
            </w:r>
          </w:p>
          <w:p w14:paraId="4D144CB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CISCO-LICENSE-MGMT-MIB;</w:t>
            </w:r>
          </w:p>
          <w:p w14:paraId="1ECF0AA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RMON2-MIB;</w:t>
            </w:r>
          </w:p>
          <w:p w14:paraId="07D969A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CISCO-LOCAL-AUTH-USER-MIB;</w:t>
            </w:r>
          </w:p>
          <w:p w14:paraId="3AB757E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SMON-MIB;</w:t>
            </w:r>
          </w:p>
          <w:p w14:paraId="26B50FA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CISCO-MAC-NOTIFICATION-MIB;</w:t>
            </w:r>
          </w:p>
          <w:p w14:paraId="0B25D9A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SNMPv2-MIB;</w:t>
            </w:r>
          </w:p>
          <w:p w14:paraId="461C862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CISCO-MDI-METRICS-MIB;</w:t>
            </w:r>
          </w:p>
          <w:p w14:paraId="4F5485B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SONET-MIB;</w:t>
            </w:r>
          </w:p>
          <w:p w14:paraId="789B037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CISCO-MEDIA-METRICS-MIB;</w:t>
            </w:r>
          </w:p>
          <w:p w14:paraId="6DDFDBD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TCP-MIB;</w:t>
            </w:r>
          </w:p>
          <w:p w14:paraId="4001C68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CISCO-MEMORY-POOL-MIB;</w:t>
            </w:r>
          </w:p>
          <w:p w14:paraId="1F2B34B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UDP-MIB;</w:t>
            </w:r>
          </w:p>
          <w:p w14:paraId="579319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CISCO-MPLS-LSR-EXT-STD-MIB;</w:t>
            </w:r>
          </w:p>
          <w:p w14:paraId="4154200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CISCO-NBAR-PROTOCOL-DISCOVERY-MIB;</w:t>
            </w:r>
          </w:p>
          <w:p w14:paraId="535CB5B5"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Standards:</w:t>
            </w:r>
          </w:p>
          <w:p w14:paraId="26B3B77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EEE 802.1s;</w:t>
            </w:r>
          </w:p>
          <w:p w14:paraId="5791705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RMON I and II standards;</w:t>
            </w:r>
          </w:p>
          <w:p w14:paraId="018EE6D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802.1w;</w:t>
            </w:r>
          </w:p>
          <w:p w14:paraId="6239780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SNMPv1, v2c, and v3;</w:t>
            </w:r>
          </w:p>
          <w:p w14:paraId="51BF774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802.1x;</w:t>
            </w:r>
          </w:p>
          <w:p w14:paraId="3950651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802.1x-Rev;</w:t>
            </w:r>
          </w:p>
          <w:p w14:paraId="5C4406D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802.3ad;</w:t>
            </w:r>
          </w:p>
          <w:p w14:paraId="38C64E6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802.3af;</w:t>
            </w:r>
          </w:p>
          <w:p w14:paraId="2AB9998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802.3at;</w:t>
            </w:r>
          </w:p>
          <w:p w14:paraId="2D43DC6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802.3x full duplex on 10BASE-T, 100BASE-TX, and 1000BASE-T ports;</w:t>
            </w:r>
          </w:p>
          <w:p w14:paraId="1F6A7D9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802.1D Spanning Tree Protocol;</w:t>
            </w:r>
          </w:p>
          <w:p w14:paraId="536193A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802.1p CoS prioritization;</w:t>
            </w:r>
          </w:p>
          <w:p w14:paraId="616945A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802.1Q VLAN;</w:t>
            </w:r>
          </w:p>
          <w:p w14:paraId="1EA2F4E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 10BASE-T specification;</w:t>
            </w:r>
          </w:p>
          <w:p w14:paraId="6C9A5A2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802.3u 100BASE-TX specification;</w:t>
            </w:r>
          </w:p>
          <w:p w14:paraId="7882276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802.3ab 1000BASE-T specification;</w:t>
            </w:r>
          </w:p>
          <w:p w14:paraId="342F213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802.3z 1000BASE-X specification;</w:t>
            </w:r>
          </w:p>
          <w:p w14:paraId="0F192F3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802.1AE - 128-bit AES MACsec inter network device encryption with MACsec Key Agreement (MKA);</w:t>
            </w:r>
          </w:p>
          <w:p w14:paraId="54361A3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802.3bz (for mGig PKG SKU’s only);</w:t>
            </w:r>
          </w:p>
          <w:p w14:paraId="3A988EC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802.3an (10GBase-T) (for mGig PKG SKU’s only);</w:t>
            </w:r>
          </w:p>
          <w:p w14:paraId="09A9C66E"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EMC compliance:</w:t>
            </w:r>
          </w:p>
          <w:p w14:paraId="512E198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FCC Part 15 (CFR 47) Class A;</w:t>
            </w:r>
          </w:p>
          <w:p w14:paraId="7096AA1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ICES-003 Class A;</w:t>
            </w:r>
          </w:p>
          <w:p w14:paraId="5F07D77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55032 Class A;</w:t>
            </w:r>
          </w:p>
          <w:p w14:paraId="4AE3045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CISPR 32 Class A;</w:t>
            </w:r>
          </w:p>
          <w:p w14:paraId="022987D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AS/NZS 3548 Class A;</w:t>
            </w:r>
          </w:p>
          <w:p w14:paraId="0E4C487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BSMI Class A;</w:t>
            </w:r>
          </w:p>
          <w:p w14:paraId="1F84305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VCCI Class A;</w:t>
            </w:r>
          </w:p>
          <w:p w14:paraId="2D3FF5F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CISPR 35;</w:t>
            </w:r>
          </w:p>
          <w:p w14:paraId="09CBD59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55035, EN300 386;</w:t>
            </w:r>
          </w:p>
          <w:p w14:paraId="6BCD683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61000-3-2;</w:t>
            </w:r>
          </w:p>
          <w:p w14:paraId="422474A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61000-3-3;</w:t>
            </w:r>
          </w:p>
          <w:p w14:paraId="0B9B0C33"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Safety compliance:</w:t>
            </w:r>
          </w:p>
          <w:p w14:paraId="562FAD7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UL 60950-1;</w:t>
            </w:r>
          </w:p>
          <w:p w14:paraId="7E1F474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CAN/CSA-C22.2 No. 60950-1;</w:t>
            </w:r>
          </w:p>
          <w:p w14:paraId="10FEA22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60950-1;</w:t>
            </w:r>
          </w:p>
          <w:p w14:paraId="13A0462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IEC 60950-1;</w:t>
            </w:r>
          </w:p>
          <w:p w14:paraId="06AF392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CCC;</w:t>
            </w:r>
          </w:p>
          <w:p w14:paraId="0B306CD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CE Marking.</w:t>
            </w:r>
          </w:p>
        </w:tc>
      </w:tr>
      <w:tr w:rsidR="00D10481" w:rsidRPr="00D10481" w14:paraId="6F781DBB" w14:textId="77777777" w:rsidTr="00797CB6">
        <w:trPr>
          <w:trHeight w:val="420"/>
          <w:jc w:val="center"/>
        </w:trPr>
        <w:tc>
          <w:tcPr>
            <w:tcW w:w="690" w:type="dxa"/>
            <w:vMerge/>
            <w:tcMar>
              <w:top w:w="100" w:type="dxa"/>
              <w:left w:w="100" w:type="dxa"/>
              <w:bottom w:w="100" w:type="dxa"/>
              <w:right w:w="100" w:type="dxa"/>
            </w:tcMar>
          </w:tcPr>
          <w:p w14:paraId="58D42AEA"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5E7F3E74"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Фізичні характеристики</w:t>
            </w:r>
          </w:p>
        </w:tc>
        <w:tc>
          <w:tcPr>
            <w:tcW w:w="7439" w:type="dxa"/>
            <w:gridSpan w:val="3"/>
            <w:tcMar>
              <w:top w:w="100" w:type="dxa"/>
              <w:left w:w="100" w:type="dxa"/>
              <w:bottom w:w="100" w:type="dxa"/>
              <w:right w:w="100" w:type="dxa"/>
            </w:tcMar>
          </w:tcPr>
          <w:p w14:paraId="528BD41D"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Габарити (В x Ш x Г), не більше ніж: 44x445x329 мм;</w:t>
            </w:r>
          </w:p>
          <w:p w14:paraId="59552C8F"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Висота в стійці – не більше ніж 1RU;</w:t>
            </w:r>
          </w:p>
          <w:p w14:paraId="339B437D"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Робоча температура навколишнього середовища – у межах від -5 до 40°C;</w:t>
            </w:r>
          </w:p>
          <w:p w14:paraId="6678EE92"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Відносна вологість навколишнього середовища – у межах від 5 до 90%;</w:t>
            </w:r>
          </w:p>
          <w:p w14:paraId="486540EA"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MTBF – не гірше ніж 531 030 годин.</w:t>
            </w:r>
          </w:p>
        </w:tc>
      </w:tr>
      <w:tr w:rsidR="00D10481" w:rsidRPr="00D10481" w14:paraId="36EA676C" w14:textId="77777777" w:rsidTr="00797CB6">
        <w:trPr>
          <w:trHeight w:val="420"/>
          <w:jc w:val="center"/>
        </w:trPr>
        <w:tc>
          <w:tcPr>
            <w:tcW w:w="690" w:type="dxa"/>
            <w:vMerge/>
            <w:tcMar>
              <w:top w:w="100" w:type="dxa"/>
              <w:left w:w="100" w:type="dxa"/>
              <w:bottom w:w="100" w:type="dxa"/>
              <w:right w:w="100" w:type="dxa"/>
            </w:tcMar>
          </w:tcPr>
          <w:p w14:paraId="6E198F22"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65950376"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Технічна підтримка та гарантії</w:t>
            </w:r>
          </w:p>
        </w:tc>
        <w:tc>
          <w:tcPr>
            <w:tcW w:w="7439" w:type="dxa"/>
            <w:gridSpan w:val="3"/>
            <w:tcMar>
              <w:top w:w="100" w:type="dxa"/>
              <w:left w:w="100" w:type="dxa"/>
              <w:bottom w:w="100" w:type="dxa"/>
              <w:right w:w="100" w:type="dxa"/>
            </w:tcMar>
          </w:tcPr>
          <w:p w14:paraId="20B2A64D"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Сервісна підписка повинна мати строк дії не менше ніж на 36 місяців;</w:t>
            </w:r>
          </w:p>
          <w:p w14:paraId="00A2A90D"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Умови розширеної гарантії повинні включати в себе можливість реєстрації сервісних випадків в режимі 24х7х365, оновлення мікрокоду системи і версій встановленого програмного забезпечення;</w:t>
            </w:r>
          </w:p>
          <w:p w14:paraId="7B3BF95D"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Виробник забезпечує авансову гарантійну заміну обладнання в режимі 8х5хNBD (5 днів, 8 години, наступний робочий день), у випадку підтвердження необхідності заміни спеціалістом сервісної підтримки виробника;</w:t>
            </w:r>
          </w:p>
          <w:p w14:paraId="46DA53FB"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Надання консультацій по телефону, електронній пошті та на сайті підтримки виробника по питаннях установки, конфігурування і експлуатації обладнання з понеділка по неділю з 00.00 до 24.00 годин цілодобово;</w:t>
            </w:r>
          </w:p>
          <w:p w14:paraId="40D4987A"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Постійний (24х7) авторизований доступ до сайту виробника.</w:t>
            </w:r>
          </w:p>
        </w:tc>
      </w:tr>
      <w:tr w:rsidR="00D10481" w:rsidRPr="00D10481" w14:paraId="3D622953" w14:textId="77777777" w:rsidTr="00797CB6">
        <w:trPr>
          <w:trHeight w:val="420"/>
          <w:jc w:val="center"/>
        </w:trPr>
        <w:tc>
          <w:tcPr>
            <w:tcW w:w="690" w:type="dxa"/>
            <w:tcMar>
              <w:top w:w="100" w:type="dxa"/>
              <w:left w:w="100" w:type="dxa"/>
              <w:bottom w:w="100" w:type="dxa"/>
              <w:right w:w="100" w:type="dxa"/>
            </w:tcMar>
            <w:vAlign w:val="center"/>
          </w:tcPr>
          <w:p w14:paraId="598E71AD" w14:textId="77777777" w:rsidR="00D10481" w:rsidRPr="00D10481" w:rsidRDefault="00D10481" w:rsidP="00797CB6">
            <w:pPr>
              <w:widowControl w:val="0"/>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2.</w:t>
            </w:r>
          </w:p>
        </w:tc>
        <w:tc>
          <w:tcPr>
            <w:tcW w:w="5550" w:type="dxa"/>
            <w:gridSpan w:val="2"/>
            <w:tcMar>
              <w:top w:w="100" w:type="dxa"/>
              <w:left w:w="100" w:type="dxa"/>
              <w:bottom w:w="100" w:type="dxa"/>
              <w:right w:w="100" w:type="dxa"/>
            </w:tcMar>
            <w:vAlign w:val="center"/>
          </w:tcPr>
          <w:p w14:paraId="48ABD2B6"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Маршрутизатор Cisco Catalyst C8200-1N-4T Router або еквівалент,  у складі:</w:t>
            </w:r>
          </w:p>
          <w:p w14:paraId="02BF7A4B"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CON-SNT-C82001N4</w:t>
            </w:r>
            <w:r w:rsidRPr="00D10481">
              <w:rPr>
                <w:rFonts w:ascii="Times New Roman" w:eastAsia="Times New Roman" w:hAnsi="Times New Roman" w:cs="Times New Roman"/>
                <w:sz w:val="24"/>
                <w:szCs w:val="24"/>
              </w:rPr>
              <w:t xml:space="preserve"> або еквівалент – 1 шт.;</w:t>
            </w:r>
          </w:p>
          <w:p w14:paraId="06C3517D"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MEM-C8200-16GB</w:t>
            </w:r>
            <w:r w:rsidRPr="00D10481">
              <w:rPr>
                <w:rFonts w:ascii="Times New Roman" w:eastAsia="Times New Roman" w:hAnsi="Times New Roman" w:cs="Times New Roman"/>
                <w:sz w:val="24"/>
                <w:szCs w:val="24"/>
              </w:rPr>
              <w:t xml:space="preserve"> або еквівалент – 1 шт.;</w:t>
            </w:r>
          </w:p>
          <w:p w14:paraId="0E19CB68"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M2USB-16G</w:t>
            </w:r>
            <w:r w:rsidRPr="00D10481">
              <w:rPr>
                <w:rFonts w:ascii="Times New Roman" w:eastAsia="Times New Roman" w:hAnsi="Times New Roman" w:cs="Times New Roman"/>
                <w:sz w:val="24"/>
                <w:szCs w:val="24"/>
              </w:rPr>
              <w:t xml:space="preserve"> або еквівалент – 1 шт.;</w:t>
            </w:r>
          </w:p>
          <w:p w14:paraId="0E9D1896"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DNA-P-T0-A-3Y</w:t>
            </w:r>
            <w:r w:rsidRPr="00D10481">
              <w:rPr>
                <w:rFonts w:ascii="Times New Roman" w:eastAsia="Times New Roman" w:hAnsi="Times New Roman" w:cs="Times New Roman"/>
                <w:sz w:val="24"/>
                <w:szCs w:val="24"/>
              </w:rPr>
              <w:t xml:space="preserve"> або еквівалент – 1 шт.;</w:t>
            </w:r>
          </w:p>
          <w:p w14:paraId="3BC4E57B"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NIM-2MFT-T1/E1</w:t>
            </w:r>
            <w:r w:rsidRPr="00D10481">
              <w:rPr>
                <w:rFonts w:ascii="Times New Roman" w:eastAsia="Times New Roman" w:hAnsi="Times New Roman" w:cs="Times New Roman"/>
                <w:sz w:val="24"/>
                <w:szCs w:val="24"/>
              </w:rPr>
              <w:t xml:space="preserve"> або еквівалент – 1 шт.;</w:t>
            </w:r>
          </w:p>
          <w:p w14:paraId="0BA47D9C"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PVDM4-64</w:t>
            </w:r>
            <w:r w:rsidRPr="00D10481">
              <w:rPr>
                <w:rFonts w:ascii="Times New Roman" w:eastAsia="Times New Roman" w:hAnsi="Times New Roman" w:cs="Times New Roman"/>
                <w:sz w:val="24"/>
                <w:szCs w:val="24"/>
              </w:rPr>
              <w:t xml:space="preserve"> або еквівалент – 1 шт.</w:t>
            </w:r>
          </w:p>
        </w:tc>
        <w:tc>
          <w:tcPr>
            <w:tcW w:w="1215" w:type="dxa"/>
            <w:tcMar>
              <w:top w:w="100" w:type="dxa"/>
              <w:left w:w="100" w:type="dxa"/>
              <w:bottom w:w="100" w:type="dxa"/>
              <w:right w:w="100" w:type="dxa"/>
            </w:tcMar>
            <w:vAlign w:val="center"/>
          </w:tcPr>
          <w:p w14:paraId="40738444"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Штука</w:t>
            </w:r>
          </w:p>
        </w:tc>
        <w:tc>
          <w:tcPr>
            <w:tcW w:w="2894" w:type="dxa"/>
            <w:tcMar>
              <w:top w:w="100" w:type="dxa"/>
              <w:left w:w="100" w:type="dxa"/>
              <w:bottom w:w="100" w:type="dxa"/>
              <w:right w:w="100" w:type="dxa"/>
            </w:tcMar>
            <w:vAlign w:val="center"/>
          </w:tcPr>
          <w:p w14:paraId="2AA60031"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w:t>
            </w:r>
          </w:p>
        </w:tc>
      </w:tr>
      <w:tr w:rsidR="00D10481" w:rsidRPr="00D10481" w14:paraId="6BF58D72" w14:textId="77777777" w:rsidTr="00797CB6">
        <w:trPr>
          <w:trHeight w:val="252"/>
          <w:jc w:val="center"/>
        </w:trPr>
        <w:tc>
          <w:tcPr>
            <w:tcW w:w="690" w:type="dxa"/>
            <w:tcMar>
              <w:top w:w="100" w:type="dxa"/>
              <w:left w:w="100" w:type="dxa"/>
              <w:bottom w:w="100" w:type="dxa"/>
              <w:right w:w="100" w:type="dxa"/>
            </w:tcMar>
          </w:tcPr>
          <w:p w14:paraId="79D8209A"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9659" w:type="dxa"/>
            <w:gridSpan w:val="4"/>
            <w:tcMar>
              <w:top w:w="100" w:type="dxa"/>
              <w:left w:w="100" w:type="dxa"/>
              <w:bottom w:w="100" w:type="dxa"/>
              <w:right w:w="100" w:type="dxa"/>
            </w:tcMar>
          </w:tcPr>
          <w:p w14:paraId="7367B0C6" w14:textId="77777777" w:rsidR="00D10481" w:rsidRPr="00D10481" w:rsidRDefault="00D10481" w:rsidP="00797CB6">
            <w:pPr>
              <w:widowControl w:val="0"/>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Технічні характеристики та вимоги до обладнання</w:t>
            </w:r>
          </w:p>
        </w:tc>
      </w:tr>
      <w:tr w:rsidR="00D10481" w:rsidRPr="00D10481" w14:paraId="00E89B00" w14:textId="77777777" w:rsidTr="00797CB6">
        <w:trPr>
          <w:trHeight w:val="420"/>
          <w:jc w:val="center"/>
        </w:trPr>
        <w:tc>
          <w:tcPr>
            <w:tcW w:w="690" w:type="dxa"/>
            <w:vMerge w:val="restart"/>
            <w:tcMar>
              <w:top w:w="100" w:type="dxa"/>
              <w:left w:w="100" w:type="dxa"/>
              <w:bottom w:w="100" w:type="dxa"/>
              <w:right w:w="100" w:type="dxa"/>
            </w:tcMar>
          </w:tcPr>
          <w:p w14:paraId="46402F72"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27690AF2" w14:textId="77777777" w:rsidR="00D10481" w:rsidRPr="00D10481" w:rsidRDefault="00D10481" w:rsidP="00797CB6">
            <w:pPr>
              <w:widowControl w:val="0"/>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Загальні вимоги</w:t>
            </w:r>
          </w:p>
        </w:tc>
        <w:tc>
          <w:tcPr>
            <w:tcW w:w="7439" w:type="dxa"/>
            <w:gridSpan w:val="3"/>
            <w:tcMar>
              <w:top w:w="100" w:type="dxa"/>
              <w:left w:w="100" w:type="dxa"/>
              <w:bottom w:w="100" w:type="dxa"/>
              <w:right w:w="100" w:type="dxa"/>
            </w:tcMar>
          </w:tcPr>
          <w:p w14:paraId="03D5BA4A"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Вбудовані порти:</w:t>
            </w:r>
          </w:p>
          <w:p w14:paraId="39584A3A"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Gigabit Ethernet з роз’ємами RJ-45 – не менше ніж 2 шт.;</w:t>
            </w:r>
          </w:p>
          <w:p w14:paraId="0B246665"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Gigabit Ethernet з роз’ємами SFP – не менше ніж 2 шт.;</w:t>
            </w:r>
          </w:p>
          <w:p w14:paraId="0E78E39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Модулі в комплекті:</w:t>
            </w:r>
          </w:p>
          <w:p w14:paraId="4EBF1854"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2 port Multiflex Trunk Voice/Clear-channel Data T1/E1 Module – не менше ніж 1 шт.;</w:t>
            </w:r>
          </w:p>
          <w:p w14:paraId="14152283"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64-channel DSP module – не менше ніж 1 шт.;</w:t>
            </w:r>
          </w:p>
          <w:p w14:paraId="09D9C6D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Маршрутизатор повинен бути побудований на базі x86 процесору;</w:t>
            </w:r>
          </w:p>
          <w:p w14:paraId="02AD27DB"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Об’єм оперативної пам’яті повинен бути не менше ніж 16 ГБ з можливістю розширення до 32 ГБ;</w:t>
            </w:r>
          </w:p>
          <w:p w14:paraId="47DEAD90"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Об’єм Flash пам’яті повинен бути не менше ніж 8 ГБ;</w:t>
            </w:r>
          </w:p>
          <w:p w14:paraId="44B53F36"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Наявність встановленного M.2 накопичувача об’ємом не менше ніж 16 ГБ;</w:t>
            </w:r>
          </w:p>
          <w:p w14:paraId="7846D98C"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Наявність встановленного M.2 USB накопичувача об’ємом 16 ГБ;</w:t>
            </w:r>
          </w:p>
          <w:p w14:paraId="5114D56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Можливість апгрейду M.2 накопичувача до 32 ГБ або 600 ГБ;</w:t>
            </w:r>
          </w:p>
          <w:p w14:paraId="274ADE74"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Блок живлення змінного струму з потужністю не більше ніж 100 ватт;</w:t>
            </w:r>
          </w:p>
          <w:p w14:paraId="7E44D769"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Форм фактор маршрутизатору повинен бути не більше ніж 1RU.</w:t>
            </w:r>
          </w:p>
          <w:p w14:paraId="3208DE17"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Маршрутизатор повинен підтримувати технологію Secure Boot та Secure Unique Device Identification (SUDI) для перевірки ідентичності обладнання та програмного забезпечення;</w:t>
            </w:r>
          </w:p>
          <w:p w14:paraId="193CF771"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Пропускна спроможність маршрутизатору повинна бути не менше ніж 3.8 Гбіт\с (у автономному режимі роботи);</w:t>
            </w:r>
          </w:p>
          <w:p w14:paraId="52ED70C8"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Пропускна спроможність IPsec не менше ніж 1 000 Мбіт\с (1 400 байтів);</w:t>
            </w:r>
          </w:p>
          <w:p w14:paraId="7A0C947A"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IPsec SVTI тунелів – не менше ніж 2 500;</w:t>
            </w:r>
          </w:p>
          <w:p w14:paraId="4FA8F4C5"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правил ACL не менше ніж 4 000;</w:t>
            </w:r>
          </w:p>
          <w:p w14:paraId="1FC30B80"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записів IPv4 ACE не менше ніж 72 000;</w:t>
            </w:r>
          </w:p>
          <w:p w14:paraId="189CF07D"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IPv4 маршрутів не менше ніж 1 600 000 (при об’ємі оперативної пам’яті 8 ГБ);</w:t>
            </w:r>
          </w:p>
          <w:p w14:paraId="57C2ADB8"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IPv6 маршрутів не менше ніж 1 500 000 (при об’ємі оперативної пам’яті 8 ГБ)</w:t>
            </w:r>
          </w:p>
          <w:p w14:paraId="628F6287"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черг не менше ніж 16 000;</w:t>
            </w:r>
          </w:p>
          <w:p w14:paraId="31C3CA75"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сесій NAT не менше ніж 1 200 000 (при об’ємі оперативної пам’яті 8 ГБ);</w:t>
            </w:r>
          </w:p>
          <w:p w14:paraId="3F3AB62F"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сесій міжмережевого екранування не менше ніж 512 000;</w:t>
            </w:r>
          </w:p>
          <w:p w14:paraId="4A6BEE15"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VRF процесів не менше ніж 4 000;</w:t>
            </w:r>
          </w:p>
          <w:p w14:paraId="299980A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Маршрутизатор повинен мати можливість працювати у режимі DNA SD-WAN.</w:t>
            </w:r>
          </w:p>
        </w:tc>
      </w:tr>
      <w:tr w:rsidR="00D10481" w:rsidRPr="00D10481" w14:paraId="118630E7" w14:textId="77777777" w:rsidTr="00797CB6">
        <w:trPr>
          <w:trHeight w:val="420"/>
          <w:jc w:val="center"/>
        </w:trPr>
        <w:tc>
          <w:tcPr>
            <w:tcW w:w="690" w:type="dxa"/>
            <w:vMerge/>
            <w:tcMar>
              <w:top w:w="100" w:type="dxa"/>
              <w:left w:w="100" w:type="dxa"/>
              <w:bottom w:w="100" w:type="dxa"/>
              <w:right w:w="100" w:type="dxa"/>
            </w:tcMar>
          </w:tcPr>
          <w:p w14:paraId="768F01CC"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6744F528"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Функції маршрутизатору</w:t>
            </w:r>
          </w:p>
        </w:tc>
        <w:tc>
          <w:tcPr>
            <w:tcW w:w="7439" w:type="dxa"/>
            <w:gridSpan w:val="3"/>
            <w:tcMar>
              <w:top w:w="100" w:type="dxa"/>
              <w:left w:w="100" w:type="dxa"/>
              <w:bottom w:w="100" w:type="dxa"/>
              <w:right w:w="100" w:type="dxa"/>
            </w:tcMar>
          </w:tcPr>
          <w:p w14:paraId="5B7DE342"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w:t>
            </w:r>
          </w:p>
          <w:p w14:paraId="0784521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IPv4;</w:t>
            </w:r>
          </w:p>
          <w:p w14:paraId="7A4EF50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IPv6;</w:t>
            </w:r>
          </w:p>
          <w:p w14:paraId="421B0D3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Статична маршрутизація;</w:t>
            </w:r>
          </w:p>
          <w:p w14:paraId="22D70AF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RIP Version 1 (RIPv1);</w:t>
            </w:r>
          </w:p>
          <w:p w14:paraId="2ECC759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RIP Version 2 (RIPv2);</w:t>
            </w:r>
          </w:p>
          <w:p w14:paraId="74C886E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Open Shortest Path First (OSPF);</w:t>
            </w:r>
          </w:p>
          <w:p w14:paraId="4BEC7D0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Enhanced Interior Gateway Routing Protocol (EIGRP);</w:t>
            </w:r>
          </w:p>
          <w:p w14:paraId="4A861E7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Border Gateway Protocol (BGP);</w:t>
            </w:r>
          </w:p>
          <w:p w14:paraId="164C4ED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BGP Router Reflector;</w:t>
            </w:r>
          </w:p>
          <w:p w14:paraId="0878849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Intermediate System-to-Intermediate System (IS-IS);</w:t>
            </w:r>
          </w:p>
          <w:p w14:paraId="128448F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Internet Group Management Protocol Version 3 (IGMPv3);</w:t>
            </w:r>
          </w:p>
          <w:p w14:paraId="77EFDB9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Protocol Independent Multicast Sparse Mode (PIM SM);</w:t>
            </w:r>
          </w:p>
          <w:p w14:paraId="47C8CC2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PIM Source-Specific Multicast (SSM);</w:t>
            </w:r>
          </w:p>
          <w:p w14:paraId="7D4C13E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Resource Reservation Protocol (RSVP);</w:t>
            </w:r>
          </w:p>
          <w:p w14:paraId="6AA3B5A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Discovery Protocol;</w:t>
            </w:r>
          </w:p>
          <w:p w14:paraId="257C4E3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Encapsulated Remote Switched Port Analyzer (ERSPAN);</w:t>
            </w:r>
          </w:p>
          <w:p w14:paraId="2CD059B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IOS IP Service-Level Agreements (IPSLA);</w:t>
            </w:r>
          </w:p>
          <w:p w14:paraId="500E5F8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Call Home;</w:t>
            </w:r>
          </w:p>
          <w:p w14:paraId="527391A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IOS Embedded Event Manager (EEM);</w:t>
            </w:r>
          </w:p>
          <w:p w14:paraId="36A7F58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Internet Key Exchange (IKE);</w:t>
            </w:r>
          </w:p>
          <w:p w14:paraId="648252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Access Control Lists (ACL);</w:t>
            </w:r>
          </w:p>
          <w:p w14:paraId="769FC22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Virtual Connections (EVC);</w:t>
            </w:r>
          </w:p>
          <w:p w14:paraId="69E9689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Dynamic Host Configuration Protocol (DHCP);</w:t>
            </w:r>
          </w:p>
          <w:p w14:paraId="3A5DD7F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Frame Relay;</w:t>
            </w:r>
          </w:p>
          <w:p w14:paraId="3D34307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DNS;</w:t>
            </w:r>
          </w:p>
          <w:p w14:paraId="1635505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Locator ID Separation Protocol (LISP);</w:t>
            </w:r>
          </w:p>
          <w:p w14:paraId="1657785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Hot Standby Router Protocol (HSRP);</w:t>
            </w:r>
          </w:p>
          <w:p w14:paraId="34B0629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RADIUS;</w:t>
            </w:r>
          </w:p>
          <w:p w14:paraId="6DC2410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Authentication, Authorization, and Accounting (AAA);</w:t>
            </w:r>
          </w:p>
          <w:p w14:paraId="50454FA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Visibility and Control (AVC);</w:t>
            </w:r>
          </w:p>
          <w:p w14:paraId="0E0EB19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Distance Vector Multicast Routing Protocol (DVMRP);</w:t>
            </w:r>
          </w:p>
          <w:p w14:paraId="64BF862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IPv4-to-IPv6 Multicast, Multiprotocol Label Switching (MPLS);</w:t>
            </w:r>
          </w:p>
          <w:p w14:paraId="22899A8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та Layer 3 VPN;</w:t>
            </w:r>
          </w:p>
          <w:p w14:paraId="13F8D34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IPsec;</w:t>
            </w:r>
          </w:p>
          <w:p w14:paraId="4BCF10A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MACsec;</w:t>
            </w:r>
          </w:p>
          <w:p w14:paraId="61BED52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Tunneling Protocol Version 3 (L2TPv3);</w:t>
            </w:r>
          </w:p>
          <w:p w14:paraId="7103DDA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Bidirectional Forwarding Detection (BFD);</w:t>
            </w:r>
          </w:p>
          <w:p w14:paraId="3C5B617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802.1ag;</w:t>
            </w:r>
          </w:p>
          <w:p w14:paraId="18B7717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802.3ah;</w:t>
            </w:r>
          </w:p>
          <w:p w14:paraId="5087DA03"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інкапсуляції:</w:t>
            </w:r>
          </w:p>
          <w:p w14:paraId="06C376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Generic Routing Encapsulation (GRE);</w:t>
            </w:r>
          </w:p>
          <w:p w14:paraId="13A190E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802.1q VLAN;</w:t>
            </w:r>
          </w:p>
          <w:p w14:paraId="383FC43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Point-to-Point Protocol (PPP);</w:t>
            </w:r>
          </w:p>
          <w:p w14:paraId="0156EF2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Multilink Point-to-Point Protocol (MLPPP);</w:t>
            </w:r>
          </w:p>
          <w:p w14:paraId="7F20C8E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High-Level Data Link Control (HDLC);</w:t>
            </w:r>
          </w:p>
          <w:p w14:paraId="27C9740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PPP over Ethernet (PPPoE);</w:t>
            </w:r>
          </w:p>
          <w:p w14:paraId="7674476A"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керування трафіком:</w:t>
            </w:r>
          </w:p>
          <w:p w14:paraId="65E4B3C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Quality of Service (QoS);</w:t>
            </w:r>
          </w:p>
          <w:p w14:paraId="11D1C65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Class-Based Weighted Fair Queuing (CBWFQ);</w:t>
            </w:r>
          </w:p>
          <w:p w14:paraId="37B1CFE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Weighted Random Early Detection (WRED);</w:t>
            </w:r>
          </w:p>
          <w:p w14:paraId="3B82309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Hierarchical QoS, Policy-Based Routing (PBR);</w:t>
            </w:r>
          </w:p>
          <w:p w14:paraId="0C8E7F2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Performance Routing (PfR);</w:t>
            </w:r>
          </w:p>
          <w:p w14:paraId="51B199E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Network-Based Application Recognition (NBAR);</w:t>
            </w:r>
          </w:p>
          <w:p w14:paraId="256AAB88"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криптографічних алгоритмів:</w:t>
            </w:r>
          </w:p>
          <w:p w14:paraId="08434E1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DES;</w:t>
            </w:r>
          </w:p>
          <w:p w14:paraId="1918498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3DES;</w:t>
            </w:r>
          </w:p>
          <w:p w14:paraId="53C8E90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AES-128;</w:t>
            </w:r>
          </w:p>
          <w:p w14:paraId="5DA175F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AES-256 (CBC та GCM);</w:t>
            </w:r>
          </w:p>
          <w:p w14:paraId="16380B5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RSA (748/1024/2048 bit);</w:t>
            </w:r>
          </w:p>
          <w:p w14:paraId="7F186E7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ECDSA (256/384 bit);</w:t>
            </w:r>
          </w:p>
          <w:p w14:paraId="67536F6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MD5;</w:t>
            </w:r>
          </w:p>
          <w:p w14:paraId="06E4981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w:t>
            </w:r>
          </w:p>
          <w:p w14:paraId="0AAC22A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SHA-256;</w:t>
            </w:r>
          </w:p>
          <w:p w14:paraId="08BAD25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SHA-384;</w:t>
            </w:r>
          </w:p>
          <w:p w14:paraId="022318E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SHA-512;</w:t>
            </w:r>
          </w:p>
          <w:p w14:paraId="177E7D6E"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у режимі роботи DNA SD-WAN:</w:t>
            </w:r>
          </w:p>
          <w:p w14:paraId="6A9EAAF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IPv4;</w:t>
            </w:r>
          </w:p>
          <w:p w14:paraId="6410E96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IPv6;</w:t>
            </w:r>
          </w:p>
          <w:p w14:paraId="77D7901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Статична маршрутизація;</w:t>
            </w:r>
          </w:p>
          <w:p w14:paraId="23C0144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Open Shortest Path First (OSPF);</w:t>
            </w:r>
          </w:p>
          <w:p w14:paraId="1AD7CCA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Enhanced Interior Gateway Routing Protocol (EIGRP);</w:t>
            </w:r>
          </w:p>
          <w:p w14:paraId="63D3E89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Border Gateway Protocol (BGP);</w:t>
            </w:r>
          </w:p>
          <w:p w14:paraId="538F61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Overlay Management Protocol (OMP);</w:t>
            </w:r>
          </w:p>
          <w:p w14:paraId="3E98266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Aware Routing (AAR);</w:t>
            </w:r>
          </w:p>
          <w:p w14:paraId="6E06E90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Traffic Engineering;</w:t>
            </w:r>
          </w:p>
          <w:p w14:paraId="1A27A68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 Insertion;</w:t>
            </w:r>
          </w:p>
          <w:p w14:paraId="7E2CB7B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zero-trust;</w:t>
            </w:r>
          </w:p>
          <w:p w14:paraId="1490376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whitelisting;</w:t>
            </w:r>
          </w:p>
          <w:p w14:paraId="7BA946B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tamper-proof module;</w:t>
            </w:r>
          </w:p>
          <w:p w14:paraId="280A1F4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DTLS/TLS;</w:t>
            </w:r>
          </w:p>
          <w:p w14:paraId="275F20D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IPsec;</w:t>
            </w:r>
          </w:p>
          <w:p w14:paraId="077BB27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Classification;</w:t>
            </w:r>
          </w:p>
          <w:p w14:paraId="2F7A81A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Prioritization;</w:t>
            </w:r>
          </w:p>
          <w:p w14:paraId="09CDD31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low latency queuing;</w:t>
            </w:r>
          </w:p>
          <w:p w14:paraId="3828F6B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remarking;</w:t>
            </w:r>
          </w:p>
          <w:p w14:paraId="168ED6D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shaping;</w:t>
            </w:r>
          </w:p>
          <w:p w14:paraId="00D53E6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scheduling;</w:t>
            </w:r>
          </w:p>
          <w:p w14:paraId="0FC749F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policing;</w:t>
            </w:r>
          </w:p>
          <w:p w14:paraId="6B6D2EB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mirroring;</w:t>
            </w:r>
          </w:p>
          <w:p w14:paraId="56A631B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IPv4 Support;</w:t>
            </w:r>
          </w:p>
          <w:p w14:paraId="40CDBB5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 advertisement and insertion policy;</w:t>
            </w:r>
          </w:p>
          <w:p w14:paraId="2F995A4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SNMP;</w:t>
            </w:r>
          </w:p>
          <w:p w14:paraId="2929A69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NTP;</w:t>
            </w:r>
          </w:p>
          <w:p w14:paraId="3DE9DE2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DNS client;</w:t>
            </w:r>
          </w:p>
          <w:p w14:paraId="4FFC677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Dynamic Host Configuration Protocol (DHCP);</w:t>
            </w:r>
          </w:p>
          <w:p w14:paraId="21193BC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 client;</w:t>
            </w:r>
          </w:p>
          <w:p w14:paraId="601655E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 server;</w:t>
            </w:r>
          </w:p>
          <w:p w14:paraId="53EB0D6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 relay;</w:t>
            </w:r>
          </w:p>
          <w:p w14:paraId="7B6E445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config archival;</w:t>
            </w:r>
          </w:p>
          <w:p w14:paraId="5040BD9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syslog;</w:t>
            </w:r>
          </w:p>
          <w:p w14:paraId="5EB5E04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SSH;</w:t>
            </w:r>
          </w:p>
          <w:p w14:paraId="026929B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SCP;</w:t>
            </w:r>
          </w:p>
          <w:p w14:paraId="1772B80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Cflowd v10 IPFIX export;</w:t>
            </w:r>
          </w:p>
          <w:p w14:paraId="270B079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IPv6 for transport-side;</w:t>
            </w:r>
          </w:p>
          <w:p w14:paraId="6D2EFFE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VRRP;</w:t>
            </w:r>
          </w:p>
          <w:p w14:paraId="3F1CF94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w:t>
            </w:r>
          </w:p>
          <w:p w14:paraId="5594962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 (DIA, Service-side, static, overload/PAT, NAT64, etc);</w:t>
            </w:r>
          </w:p>
          <w:p w14:paraId="4050285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 pools;</w:t>
            </w:r>
          </w:p>
          <w:p w14:paraId="5E28357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split DNS;</w:t>
            </w:r>
          </w:p>
          <w:p w14:paraId="4799233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Access Control Lists (ACL);</w:t>
            </w:r>
          </w:p>
          <w:p w14:paraId="58E8421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Bidirectional Forwarding Detection (BFD);</w:t>
            </w:r>
          </w:p>
          <w:p w14:paraId="613CD2D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Netconf over SSH;</w:t>
            </w:r>
          </w:p>
          <w:p w14:paraId="75712B1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CLI;</w:t>
            </w:r>
          </w:p>
          <w:p w14:paraId="118EF8E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NTP server support;</w:t>
            </w:r>
          </w:p>
          <w:p w14:paraId="34EFB75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BFD with service-side BGP;</w:t>
            </w:r>
          </w:p>
          <w:p w14:paraId="6B5892D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BGP community propagation to OMP;</w:t>
            </w:r>
          </w:p>
          <w:p w14:paraId="40070C7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6 SLA classes for AAR;</w:t>
            </w:r>
          </w:p>
          <w:p w14:paraId="6976058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Trustsec/SDA (Inline SGT propagation);</w:t>
            </w:r>
          </w:p>
          <w:p w14:paraId="6FBECCC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custom app with SD-AVC;</w:t>
            </w:r>
          </w:p>
          <w:p w14:paraId="05C2EC1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AAR;</w:t>
            </w:r>
          </w:p>
          <w:p w14:paraId="21E8540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dynamic on-demand tunnels;</w:t>
            </w:r>
          </w:p>
          <w:p w14:paraId="68EC34F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PIM-SM;</w:t>
            </w:r>
          </w:p>
          <w:p w14:paraId="48B87F7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OSPFv3;</w:t>
            </w:r>
          </w:p>
          <w:p w14:paraId="68FF81C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route policies;</w:t>
            </w:r>
          </w:p>
          <w:p w14:paraId="2D227EF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Multi-VRF support;</w:t>
            </w:r>
          </w:p>
          <w:p w14:paraId="1F6CC09D"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інкапсуляції у режимі роботи DNA SD-WAN:</w:t>
            </w:r>
          </w:p>
          <w:p w14:paraId="2A26117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Generic Routing Encapsulation (GRE);</w:t>
            </w:r>
          </w:p>
          <w:p w14:paraId="1177DDB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w:t>
            </w:r>
          </w:p>
          <w:p w14:paraId="3E80874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802.1q VLAN;</w:t>
            </w:r>
          </w:p>
          <w:p w14:paraId="63D25634"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керування трафіком у режимі роботи DNA SD-WAN:</w:t>
            </w:r>
          </w:p>
          <w:p w14:paraId="1741F79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Quality of Service (QoS);</w:t>
            </w:r>
          </w:p>
          <w:p w14:paraId="58C30DA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Forward Error Correction (FEC);</w:t>
            </w:r>
          </w:p>
          <w:p w14:paraId="4DEF9E4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COS Marking;</w:t>
            </w:r>
          </w:p>
          <w:p w14:paraId="7C98D99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Weighted Random Early Detection (WRED);</w:t>
            </w:r>
          </w:p>
          <w:p w14:paraId="0EE186F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Hierarchical QoS;</w:t>
            </w:r>
          </w:p>
          <w:p w14:paraId="7D02D83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Policy-Based Routing (PBR);</w:t>
            </w:r>
          </w:p>
          <w:p w14:paraId="712CA75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Network-Based Application Recognition (NBAR);</w:t>
            </w:r>
          </w:p>
          <w:p w14:paraId="591BAE4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Software Defined Application Visibility and Control (SD-AVC);</w:t>
            </w:r>
          </w:p>
          <w:p w14:paraId="15F9001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 tunnel QoS;</w:t>
            </w:r>
          </w:p>
          <w:p w14:paraId="0C85D5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onRamp for SaaS;</w:t>
            </w:r>
          </w:p>
          <w:p w14:paraId="05581F0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Enhanced Office 365 traffic steering;</w:t>
            </w:r>
          </w:p>
          <w:p w14:paraId="20ABA7F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Direct Internet Access;</w:t>
            </w:r>
          </w:p>
          <w:p w14:paraId="74566BD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Flexible Netflow (FnF);</w:t>
            </w:r>
          </w:p>
          <w:p w14:paraId="32740626"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криптографічних алгоритмів та протоколів у режимі роботи DNA SD-WAN:</w:t>
            </w:r>
          </w:p>
          <w:p w14:paraId="281CC12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AES-256 (CBC та GCM);</w:t>
            </w:r>
          </w:p>
          <w:p w14:paraId="722A33A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Internet Key Exchange (IKE);</w:t>
            </w:r>
          </w:p>
          <w:p w14:paraId="580D7D7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PKI;</w:t>
            </w:r>
          </w:p>
          <w:p w14:paraId="1894182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AAA;</w:t>
            </w:r>
          </w:p>
          <w:p w14:paraId="0470422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RSA (2048 bit);</w:t>
            </w:r>
          </w:p>
          <w:p w14:paraId="61A78B4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ESP-256-CBC;</w:t>
            </w:r>
          </w:p>
          <w:p w14:paraId="7397990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HMAC-SHA1;</w:t>
            </w:r>
          </w:p>
          <w:p w14:paraId="19D5B69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ECDSA (256/384 bit);</w:t>
            </w:r>
          </w:p>
          <w:p w14:paraId="36CBC3F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SHA-1;</w:t>
            </w:r>
          </w:p>
          <w:p w14:paraId="422971C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SHA-2;</w:t>
            </w:r>
          </w:p>
          <w:p w14:paraId="4AFFE9F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Built-in end-to-end Segmentation (VPNs);</w:t>
            </w:r>
          </w:p>
          <w:p w14:paraId="56BE90E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ZBFW;</w:t>
            </w:r>
          </w:p>
          <w:p w14:paraId="67CAADC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PKI;</w:t>
            </w:r>
          </w:p>
          <w:p w14:paraId="6579E21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DNS Layer Security;</w:t>
            </w:r>
          </w:p>
          <w:p w14:paraId="0FE47A8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Security Internet Gateway (Umbrella, Zscaler);</w:t>
            </w:r>
          </w:p>
          <w:p w14:paraId="4B3D80E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ALG for ZBFW.</w:t>
            </w:r>
          </w:p>
        </w:tc>
      </w:tr>
      <w:tr w:rsidR="00D10481" w:rsidRPr="00D10481" w14:paraId="095DB2EF" w14:textId="77777777" w:rsidTr="00797CB6">
        <w:trPr>
          <w:trHeight w:val="420"/>
          <w:jc w:val="center"/>
        </w:trPr>
        <w:tc>
          <w:tcPr>
            <w:tcW w:w="690" w:type="dxa"/>
            <w:vMerge/>
            <w:tcMar>
              <w:top w:w="100" w:type="dxa"/>
              <w:left w:w="100" w:type="dxa"/>
              <w:bottom w:w="100" w:type="dxa"/>
              <w:right w:w="100" w:type="dxa"/>
            </w:tcMar>
          </w:tcPr>
          <w:p w14:paraId="640EB661"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23778460"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Проліцензовані функціональні можливості</w:t>
            </w:r>
          </w:p>
        </w:tc>
        <w:tc>
          <w:tcPr>
            <w:tcW w:w="7439" w:type="dxa"/>
            <w:gridSpan w:val="3"/>
            <w:tcMar>
              <w:top w:w="100" w:type="dxa"/>
              <w:left w:w="100" w:type="dxa"/>
              <w:bottom w:w="100" w:type="dxa"/>
              <w:right w:w="100" w:type="dxa"/>
            </w:tcMar>
          </w:tcPr>
          <w:p w14:paraId="3B1E283F"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У наявності повинна бути постійна ліцензія Network Advantage, що включає наступні можливості:</w:t>
            </w:r>
          </w:p>
          <w:p w14:paraId="0EFADCC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RIP;</w:t>
            </w:r>
          </w:p>
          <w:p w14:paraId="48F429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OSPF;</w:t>
            </w:r>
          </w:p>
          <w:p w14:paraId="59F8C04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BGP;</w:t>
            </w:r>
          </w:p>
          <w:p w14:paraId="36F4A46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EIGRP;</w:t>
            </w:r>
          </w:p>
          <w:p w14:paraId="6253E9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IS-IS;</w:t>
            </w:r>
          </w:p>
          <w:p w14:paraId="4844A8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IGRP (routing protocols);</w:t>
            </w:r>
          </w:p>
          <w:p w14:paraId="0D07511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On-Demand Routing (ODR);</w:t>
            </w:r>
          </w:p>
          <w:p w14:paraId="6CBF60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NSF awareness;</w:t>
            </w:r>
          </w:p>
          <w:p w14:paraId="04E0845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Point-to-Point Protocol (PPP);</w:t>
            </w:r>
          </w:p>
          <w:p w14:paraId="3440B14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Multi-Link PPP (MLP)</w:t>
            </w:r>
          </w:p>
          <w:p w14:paraId="30DDBDD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NetFlow;</w:t>
            </w:r>
          </w:p>
          <w:p w14:paraId="45C7F0A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Flexible NetFlow (FnF);</w:t>
            </w:r>
          </w:p>
          <w:p w14:paraId="226784C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IPFIX;</w:t>
            </w:r>
          </w:p>
          <w:p w14:paraId="785D2E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performance monitoring;</w:t>
            </w:r>
          </w:p>
          <w:p w14:paraId="29BE0ED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Flexible Packet Matching (FPM);</w:t>
            </w:r>
          </w:p>
          <w:p w14:paraId="7B4CD3F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Bidirectional Forwarding (BFD);</w:t>
            </w:r>
          </w:p>
          <w:p w14:paraId="4D6D17A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LLDP;</w:t>
            </w:r>
          </w:p>
          <w:p w14:paraId="6D3148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ACL;</w:t>
            </w:r>
          </w:p>
          <w:p w14:paraId="16CA249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ARP;</w:t>
            </w:r>
          </w:p>
          <w:p w14:paraId="63EBB46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w:t>
            </w:r>
          </w:p>
          <w:p w14:paraId="6475196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BDI;</w:t>
            </w:r>
          </w:p>
          <w:p w14:paraId="7B5B740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Discovery Protocol;</w:t>
            </w:r>
          </w:p>
          <w:p w14:paraId="7E7F2FE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Control Plane Policing (CoPP);</w:t>
            </w:r>
          </w:p>
          <w:p w14:paraId="705E42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w:t>
            </w:r>
          </w:p>
          <w:p w14:paraId="6B29491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DNS;</w:t>
            </w:r>
          </w:p>
          <w:p w14:paraId="29E6D50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Dynamic DNS;</w:t>
            </w:r>
          </w:p>
          <w:p w14:paraId="1787FC6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NTPv4;</w:t>
            </w:r>
          </w:p>
          <w:p w14:paraId="56EB13D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TR-069;</w:t>
            </w:r>
          </w:p>
          <w:p w14:paraId="13644A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TR069-CWMP;</w:t>
            </w:r>
          </w:p>
          <w:p w14:paraId="09911A6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TCP-ECN;</w:t>
            </w:r>
          </w:p>
          <w:p w14:paraId="1EAE8F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MSS</w:t>
            </w:r>
          </w:p>
          <w:p w14:paraId="29B870B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Stream Control Transmission Protocol (SCTP);</w:t>
            </w:r>
          </w:p>
          <w:p w14:paraId="23C815F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802;1P;</w:t>
            </w:r>
          </w:p>
          <w:p w14:paraId="4E003CA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802;1Q;</w:t>
            </w:r>
          </w:p>
          <w:p w14:paraId="7A24109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LACP;</w:t>
            </w:r>
          </w:p>
          <w:p w14:paraId="549E1C1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PAgP;</w:t>
            </w:r>
          </w:p>
          <w:p w14:paraId="50A9970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EtherChannel;</w:t>
            </w:r>
          </w:p>
          <w:p w14:paraId="151378C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box-to-box HA;</w:t>
            </w:r>
          </w:p>
          <w:p w14:paraId="270D3B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FHRP;</w:t>
            </w:r>
          </w:p>
          <w:p w14:paraId="41B3ECC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GLBP (global load balancing);</w:t>
            </w:r>
          </w:p>
          <w:p w14:paraId="2E8EFE0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w:t>
            </w:r>
          </w:p>
          <w:p w14:paraId="3EB4692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PAT – IPv4/v6;</w:t>
            </w:r>
          </w:p>
          <w:p w14:paraId="2A32B46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Reverse Path Forwarding (URPF);</w:t>
            </w:r>
          </w:p>
          <w:p w14:paraId="763F352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Switch Port Analyzer (SPAN);</w:t>
            </w:r>
          </w:p>
          <w:p w14:paraId="71E6BDF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Encapsulated Remote SPAN (ERSPAN);</w:t>
            </w:r>
          </w:p>
          <w:p w14:paraId="3C12410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carrier grade NAT;</w:t>
            </w:r>
          </w:p>
          <w:p w14:paraId="2355D8C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NETCONF/YANG support;</w:t>
            </w:r>
          </w:p>
          <w:p w14:paraId="2F6B04D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Zero Touch Support (PnP/ZTP);</w:t>
            </w:r>
          </w:p>
          <w:p w14:paraId="37A59A2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EEM Support;</w:t>
            </w:r>
          </w:p>
          <w:p w14:paraId="671883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RESTCONF;</w:t>
            </w:r>
          </w:p>
          <w:p w14:paraId="3280105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TACACS+;</w:t>
            </w:r>
          </w:p>
          <w:p w14:paraId="7600801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AAA;</w:t>
            </w:r>
          </w:p>
          <w:p w14:paraId="0C3E2CE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GNMI;</w:t>
            </w:r>
          </w:p>
          <w:p w14:paraId="484D3ED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gRPC</w:t>
            </w:r>
          </w:p>
          <w:p w14:paraId="5671467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Zone-based firewall;</w:t>
            </w:r>
          </w:p>
          <w:p w14:paraId="52A8A36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IPS/Snort;</w:t>
            </w:r>
          </w:p>
          <w:p w14:paraId="2A90DF3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Public Key Infrastructure (PKI);</w:t>
            </w:r>
          </w:p>
          <w:p w14:paraId="12D0EB9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ACL;</w:t>
            </w:r>
          </w:p>
          <w:p w14:paraId="73EA13A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trustworthy system;</w:t>
            </w:r>
          </w:p>
          <w:p w14:paraId="7601092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Challenge Handshake (CHAP) and Password Authentication (PAP);</w:t>
            </w:r>
          </w:p>
          <w:p w14:paraId="20C8A6B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Certificate Authority (CA)</w:t>
            </w:r>
          </w:p>
          <w:p w14:paraId="4CAF641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MACsec Key Agreement Protocol;</w:t>
            </w:r>
          </w:p>
          <w:p w14:paraId="7FA06C8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LAN MACsec (128-bit);</w:t>
            </w:r>
          </w:p>
          <w:p w14:paraId="48702F2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WAN MACSec (125-/256-bit)</w:t>
            </w:r>
          </w:p>
          <w:p w14:paraId="12CE3A0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IPsec (point to point);</w:t>
            </w:r>
          </w:p>
          <w:p w14:paraId="0C95A56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DMVPN;</w:t>
            </w:r>
          </w:p>
          <w:p w14:paraId="63F6CEA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GET VPN;</w:t>
            </w:r>
          </w:p>
          <w:p w14:paraId="0E63015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FlexVPN</w:t>
            </w:r>
          </w:p>
          <w:p w14:paraId="073809B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MQC including classification;</w:t>
            </w:r>
          </w:p>
          <w:p w14:paraId="0BD90BB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policing;</w:t>
            </w:r>
          </w:p>
          <w:p w14:paraId="20A356B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re-marking;</w:t>
            </w:r>
          </w:p>
          <w:p w14:paraId="35420E7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scheduling;</w:t>
            </w:r>
          </w:p>
          <w:p w14:paraId="42317AE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HQoS;</w:t>
            </w:r>
          </w:p>
          <w:p w14:paraId="7F44553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Visibility and Control (AVC);</w:t>
            </w:r>
          </w:p>
          <w:p w14:paraId="7B87123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NBAR2 (standard protocol packs);</w:t>
            </w:r>
          </w:p>
          <w:p w14:paraId="07D3FC4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IPSLA (Initiator);</w:t>
            </w:r>
          </w:p>
          <w:p w14:paraId="6A82710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Deep Packet Inspection;</w:t>
            </w:r>
          </w:p>
          <w:p w14:paraId="29372B0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Bi-Di PIM;</w:t>
            </w:r>
          </w:p>
          <w:p w14:paraId="447B882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IGMP;</w:t>
            </w:r>
          </w:p>
          <w:p w14:paraId="5224539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Protocol Independent Multicast (PIM);</w:t>
            </w:r>
          </w:p>
          <w:p w14:paraId="56A7532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CGMP;</w:t>
            </w:r>
          </w:p>
          <w:p w14:paraId="6C2E82D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AutoRP;</w:t>
            </w:r>
          </w:p>
          <w:p w14:paraId="4F5F6E3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Bootstrap Router (BSR);</w:t>
            </w:r>
          </w:p>
          <w:p w14:paraId="1B141FA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mroute;</w:t>
            </w:r>
          </w:p>
          <w:p w14:paraId="6E0F242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MLD (v1, v2);</w:t>
            </w:r>
          </w:p>
          <w:p w14:paraId="55EBE2B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extending SSM support (PIM-SSM, IGMPv3 with SSM);</w:t>
            </w:r>
          </w:p>
          <w:p w14:paraId="5566210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SSM-Mapping;</w:t>
            </w:r>
          </w:p>
          <w:p w14:paraId="4A0E2E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Source Discovery Protocol (MSDP);</w:t>
            </w:r>
          </w:p>
          <w:p w14:paraId="1D27960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PPP over Ethernet (PPPoE);</w:t>
            </w:r>
          </w:p>
          <w:p w14:paraId="12B3F6B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PPPoA (PPP over ATM) for DSL support;</w:t>
            </w:r>
          </w:p>
          <w:p w14:paraId="1D0CB8B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L2TPv2;</w:t>
            </w:r>
          </w:p>
          <w:p w14:paraId="0C168C4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Easy Virtual Network (EVN);</w:t>
            </w:r>
          </w:p>
          <w:p w14:paraId="58109D8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vRF-Lite;</w:t>
            </w:r>
          </w:p>
          <w:p w14:paraId="1077B8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Multi-VRF</w:t>
            </w:r>
          </w:p>
          <w:p w14:paraId="5BE8480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GRE tunnel;</w:t>
            </w:r>
          </w:p>
          <w:p w14:paraId="791F637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IPv6 over v4 and IPv4 over v6 tunnels;</w:t>
            </w:r>
          </w:p>
          <w:p w14:paraId="4437DE4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per-tunnel QoS;</w:t>
            </w:r>
          </w:p>
          <w:p w14:paraId="2E56B14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VRF support;</w:t>
            </w:r>
          </w:p>
          <w:p w14:paraId="4EDC54E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TrustSec (SGT, SGACL, SGX);</w:t>
            </w:r>
          </w:p>
          <w:p w14:paraId="75B0EB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IPSLA responder;</w:t>
            </w:r>
          </w:p>
          <w:p w14:paraId="1F57685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echo;</w:t>
            </w:r>
          </w:p>
          <w:p w14:paraId="774AC70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jitter;</w:t>
            </w:r>
          </w:p>
          <w:p w14:paraId="0AC1D67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path (ICMP, UDP and multicast);</w:t>
            </w:r>
          </w:p>
          <w:p w14:paraId="494E8B4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TCP connect;</w:t>
            </w:r>
          </w:p>
          <w:p w14:paraId="6542AF2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HTTP;</w:t>
            </w:r>
          </w:p>
          <w:p w14:paraId="4A4790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FTP;</w:t>
            </w:r>
          </w:p>
          <w:p w14:paraId="3679338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w:t>
            </w:r>
          </w:p>
          <w:p w14:paraId="62BA4DF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802.1X feature support;</w:t>
            </w:r>
          </w:p>
          <w:p w14:paraId="204D854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RADIUS integration;</w:t>
            </w:r>
          </w:p>
          <w:p w14:paraId="58FE9D0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TACACS/TACACS+ support;</w:t>
            </w:r>
          </w:p>
          <w:p w14:paraId="3ADB042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SHA-1;</w:t>
            </w:r>
          </w:p>
          <w:p w14:paraId="7F3A907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SHA-2;</w:t>
            </w:r>
          </w:p>
          <w:p w14:paraId="04C46E8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MD5;</w:t>
            </w:r>
          </w:p>
          <w:p w14:paraId="7ED140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Unified Border Element (CUBE)/Session Border Controller (SBC) support;</w:t>
            </w:r>
          </w:p>
          <w:p w14:paraId="3CB0F4A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Connectivity Fault Management (CFM-802.1ag);</w:t>
            </w:r>
          </w:p>
          <w:p w14:paraId="6BA6C3B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Operations and Admin Management (OAM - 802.3ah);</w:t>
            </w:r>
          </w:p>
          <w:p w14:paraId="77B053B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Unidirectional Link Routing (UDLR);</w:t>
            </w:r>
          </w:p>
          <w:p w14:paraId="4289ACD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guest shell;</w:t>
            </w:r>
          </w:p>
          <w:p w14:paraId="36B78D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support;</w:t>
            </w:r>
          </w:p>
          <w:p w14:paraId="3AAC89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hosting (app hosting on containers);</w:t>
            </w:r>
          </w:p>
          <w:p w14:paraId="0833B8B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Umbrella connector support;</w:t>
            </w:r>
          </w:p>
          <w:p w14:paraId="43411A3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URL filtering support;</w:t>
            </w:r>
          </w:p>
          <w:p w14:paraId="3398A25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Policy-Based Routing (PBR);</w:t>
            </w:r>
          </w:p>
          <w:p w14:paraId="01992AC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Performance Routing (PfR/OER);</w:t>
            </w:r>
          </w:p>
          <w:p w14:paraId="6C0A736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Visibility and Control (SD-AVC);</w:t>
            </w:r>
          </w:p>
          <w:p w14:paraId="67F9F3D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Application Layer Gateway (ALG);</w:t>
            </w:r>
          </w:p>
          <w:p w14:paraId="7B0D223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NBAR2 (standard and custom protocol packs);</w:t>
            </w:r>
          </w:p>
          <w:p w14:paraId="41E5F23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ISDN BRI;</w:t>
            </w:r>
          </w:p>
          <w:p w14:paraId="2D8A13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X.25 and XOT support;</w:t>
            </w:r>
          </w:p>
          <w:p w14:paraId="250F88F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basic CLNS functionality;</w:t>
            </w:r>
          </w:p>
          <w:p w14:paraId="6005FB6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Radio-Aware Routing (RAR, PPPoE based-RFC 5578);</w:t>
            </w:r>
          </w:p>
          <w:p w14:paraId="608A03B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mobile IP;</w:t>
            </w:r>
          </w:p>
          <w:p w14:paraId="29BE76C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Proxy Mobile IP (PMIP);</w:t>
            </w:r>
          </w:p>
          <w:p w14:paraId="0ADE7EB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network positioning system;</w:t>
            </w:r>
          </w:p>
          <w:p w14:paraId="14AFF9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Pragmatic General Multicast (PGM);</w:t>
            </w:r>
          </w:p>
          <w:p w14:paraId="3E06D7C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Router Group Management Protocol (RGMP);</w:t>
            </w:r>
          </w:p>
          <w:p w14:paraId="27915A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service reflection;</w:t>
            </w:r>
          </w:p>
          <w:p w14:paraId="0E4D368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multicast VPN;</w:t>
            </w:r>
          </w:p>
          <w:p w14:paraId="4331096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E-OAM (op, admin, maint);</w:t>
            </w:r>
          </w:p>
          <w:p w14:paraId="4B423E4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E-CFM (connectivity fault management);</w:t>
            </w:r>
          </w:p>
          <w:p w14:paraId="475D35A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local management Interface (ELMI);</w:t>
            </w:r>
          </w:p>
          <w:p w14:paraId="5DDF9F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Virtual Circuit (EVC);</w:t>
            </w:r>
          </w:p>
          <w:p w14:paraId="66F14A8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flow point;</w:t>
            </w:r>
          </w:p>
          <w:p w14:paraId="51C559D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 Layer 2 and Layer 3 VPN;</w:t>
            </w:r>
          </w:p>
          <w:p w14:paraId="1B1542F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VPN Pseudowire (PW);</w:t>
            </w:r>
          </w:p>
          <w:p w14:paraId="19B5A7E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over MPLS (EoMPLS);</w:t>
            </w:r>
          </w:p>
          <w:p w14:paraId="68F679D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Any Transport over MPLS (AToM);</w:t>
            </w:r>
          </w:p>
          <w:p w14:paraId="52AE21A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 Traffic Engineering (TE);</w:t>
            </w:r>
          </w:p>
          <w:p w14:paraId="7D4DBBA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Label Distribution Protocol (LDP);</w:t>
            </w:r>
          </w:p>
          <w:p w14:paraId="2A2450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Virtual Private LAN Services (VPLS, H-VPLS);</w:t>
            </w:r>
          </w:p>
          <w:p w14:paraId="4E2B7B8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EVPN;</w:t>
            </w:r>
          </w:p>
          <w:p w14:paraId="752E433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Segment Routing;</w:t>
            </w:r>
          </w:p>
          <w:p w14:paraId="0AD604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ISATAP tunnels;</w:t>
            </w:r>
          </w:p>
          <w:p w14:paraId="4F83FD2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6RD tunnels;</w:t>
            </w:r>
          </w:p>
          <w:p w14:paraId="159292B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Tunnel Protocol v3 (L2TPv3);</w:t>
            </w:r>
          </w:p>
          <w:p w14:paraId="3314158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LAC;</w:t>
            </w:r>
          </w:p>
          <w:p w14:paraId="248AD71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LNS;</w:t>
            </w:r>
          </w:p>
          <w:p w14:paraId="7D69D7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Protocol Tunneling (L2PT);</w:t>
            </w:r>
          </w:p>
          <w:p w14:paraId="607C72E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Virtual Private Data Networks (VPDN);</w:t>
            </w:r>
          </w:p>
          <w:p w14:paraId="215022D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Layer 2 forwarding;</w:t>
            </w:r>
          </w:p>
          <w:p w14:paraId="1A556AA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over GRE (EoGRE);</w:t>
            </w:r>
          </w:p>
          <w:p w14:paraId="59EA16C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VoIP (UDP jitter, RTP, H323, MOS);</w:t>
            </w:r>
          </w:p>
          <w:p w14:paraId="0478EFB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video ops;</w:t>
            </w:r>
          </w:p>
          <w:p w14:paraId="2E9213E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TWAMP;</w:t>
            </w:r>
          </w:p>
          <w:p w14:paraId="35117FF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disc (for LSP);</w:t>
            </w:r>
          </w:p>
          <w:p w14:paraId="7B682AA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Y.1731;</w:t>
            </w:r>
          </w:p>
          <w:p w14:paraId="6638704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 OAM;</w:t>
            </w:r>
          </w:p>
          <w:p w14:paraId="1E373A9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Web Cache Routing Protocol (WCCP);</w:t>
            </w:r>
          </w:p>
          <w:p w14:paraId="47CE950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object tracking;</w:t>
            </w:r>
          </w:p>
          <w:p w14:paraId="5B3925C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Overlay Transport Virtualization (OTV);</w:t>
            </w:r>
          </w:p>
          <w:p w14:paraId="3A6A5D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VRF-Aware Software Infrastructure (VASI);</w:t>
            </w:r>
          </w:p>
          <w:p w14:paraId="1DA49CF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VXLAN;</w:t>
            </w:r>
          </w:p>
          <w:p w14:paraId="4F25577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Call Admission Control (CAC);</w:t>
            </w:r>
          </w:p>
          <w:p w14:paraId="669A280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voice module support (FXO/FXS for T1 and E1/MultiFunction (MFT));</w:t>
            </w:r>
          </w:p>
          <w:p w14:paraId="42FDA72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dialer support;</w:t>
            </w:r>
          </w:p>
          <w:p w14:paraId="18022F2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RADIUS;</w:t>
            </w:r>
          </w:p>
          <w:p w14:paraId="26D7B68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RFC4040 based clear channel;</w:t>
            </w:r>
          </w:p>
          <w:p w14:paraId="3C82E85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codec signaling with SIP;</w:t>
            </w:r>
          </w:p>
          <w:p w14:paraId="0518E08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Resource Reservation Protoco(RSVP);</w:t>
            </w:r>
          </w:p>
          <w:p w14:paraId="266B2D8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RTP Control Protocol (RTCP);</w:t>
            </w:r>
          </w:p>
          <w:p w14:paraId="78BD951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 Advertisement Framework (SAF);</w:t>
            </w:r>
          </w:p>
          <w:p w14:paraId="1C0E5E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SIP for VoIP;</w:t>
            </w:r>
          </w:p>
          <w:p w14:paraId="6E5C07B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Secure Real-Time Transport Protocol (SRTP);</w:t>
            </w:r>
          </w:p>
          <w:p w14:paraId="5BA0764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Voice over Frame Relay (VoFR) (FRF;11));</w:t>
            </w:r>
          </w:p>
          <w:p w14:paraId="35E685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VoIP;</w:t>
            </w:r>
          </w:p>
          <w:p w14:paraId="679FDF1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transcoding;</w:t>
            </w:r>
          </w:p>
          <w:p w14:paraId="7B3EBB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V.150;</w:t>
            </w:r>
          </w:p>
          <w:p w14:paraId="30B907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MGCP;</w:t>
            </w:r>
          </w:p>
          <w:p w14:paraId="455A6A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Communications Manager Express (CME);</w:t>
            </w:r>
          </w:p>
          <w:p w14:paraId="38B81D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Unified Communications Manager;</w:t>
            </w:r>
          </w:p>
          <w:p w14:paraId="0A53F19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Survivable Remote Site Telephony (SRST);</w:t>
            </w:r>
          </w:p>
          <w:p w14:paraId="5166F4A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Interactive Voice;</w:t>
            </w:r>
          </w:p>
          <w:p w14:paraId="75C3C4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Response (IVR);</w:t>
            </w:r>
          </w:p>
          <w:p w14:paraId="72468D0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innovation;</w:t>
            </w:r>
          </w:p>
          <w:p w14:paraId="179C59E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Encrypted Traffic Analytics (ETA);</w:t>
            </w:r>
          </w:p>
          <w:p w14:paraId="6430994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SD Bonjour (mDNS);</w:t>
            </w:r>
          </w:p>
          <w:p w14:paraId="377412E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Embedded Packet Capture (EPC);</w:t>
            </w:r>
          </w:p>
          <w:p w14:paraId="7B05FBE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In-Service Software Upgrade (ISSU);</w:t>
            </w:r>
          </w:p>
          <w:p w14:paraId="2F9E0B3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Maintenance Upgrade (SMU);</w:t>
            </w:r>
          </w:p>
          <w:p w14:paraId="5D21E4B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Locator ID Separator ID (LISP);</w:t>
            </w:r>
          </w:p>
          <w:p w14:paraId="78506492"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У наявності повинна бути підписка DNA SD-WAN Advantage, що включає такі можливості:</w:t>
            </w:r>
          </w:p>
          <w:p w14:paraId="3F2F2D4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or on-premises management;</w:t>
            </w:r>
          </w:p>
          <w:p w14:paraId="0FE9AAF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flexible topology including hub/spoke;</w:t>
            </w:r>
          </w:p>
          <w:p w14:paraId="1251280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full mesh and partial mesh,</w:t>
            </w:r>
          </w:p>
          <w:p w14:paraId="4E78EA3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 and SLA-based routing policy;</w:t>
            </w:r>
          </w:p>
          <w:p w14:paraId="0FBDDB6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VNF lifecycle management;</w:t>
            </w:r>
          </w:p>
          <w:p w14:paraId="0196EAB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DSL;</w:t>
            </w:r>
          </w:p>
          <w:p w14:paraId="15B64D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4G LTE;</w:t>
            </w:r>
          </w:p>
          <w:p w14:paraId="0DD4D3C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and multilink router interfaces;</w:t>
            </w:r>
          </w:p>
          <w:p w14:paraId="38CE224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NTP client;</w:t>
            </w:r>
          </w:p>
          <w:p w14:paraId="57059B8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zero-touch provisioning and onboarding;</w:t>
            </w:r>
          </w:p>
          <w:p w14:paraId="0D2B6B5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Static and dynamic routing (BGP, OSPF);</w:t>
            </w:r>
          </w:p>
          <w:p w14:paraId="55C1F3B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routing protocol redistribution (EIGRP, OSPF, BGP);</w:t>
            </w:r>
          </w:p>
          <w:p w14:paraId="0CB0CB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EIGRP (service side);</w:t>
            </w:r>
          </w:p>
          <w:p w14:paraId="758E8E6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route maps;</w:t>
            </w:r>
          </w:p>
          <w:p w14:paraId="78FB3D3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BFD PMTU;</w:t>
            </w:r>
          </w:p>
          <w:p w14:paraId="59697CB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CoS marking (802.1P);</w:t>
            </w:r>
          </w:p>
          <w:p w14:paraId="3EE268C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static and service side NAT;</w:t>
            </w:r>
          </w:p>
          <w:p w14:paraId="0EDB3EA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 pool support for DIA;</w:t>
            </w:r>
          </w:p>
          <w:p w14:paraId="0BFFD07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 using loopback interface address;</w:t>
            </w:r>
          </w:p>
          <w:p w14:paraId="6FECE40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HQoS;</w:t>
            </w:r>
          </w:p>
          <w:p w14:paraId="6DF4E4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per-tunnel QoS;</w:t>
            </w:r>
          </w:p>
          <w:p w14:paraId="66E8CAE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Ethernet subinterface QoS;</w:t>
            </w:r>
          </w:p>
          <w:p w14:paraId="0BBDC08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WAN loopback;</w:t>
            </w:r>
          </w:p>
          <w:p w14:paraId="09902A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support;</w:t>
            </w:r>
          </w:p>
          <w:p w14:paraId="7AC7BF6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OMP redistribution;</w:t>
            </w:r>
          </w:p>
          <w:p w14:paraId="5C07FCE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 VPN redistribution;</w:t>
            </w:r>
          </w:p>
          <w:p w14:paraId="397E4C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mapping BGP communities to OMP tags;</w:t>
            </w:r>
          </w:p>
          <w:p w14:paraId="3D4CFD7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match and set communities during BGP to OMP redistribution (localized and centralized policy);</w:t>
            </w:r>
          </w:p>
          <w:p w14:paraId="4DA3C7E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secondary IP address support on SVI (interface VLAN);</w:t>
            </w:r>
          </w:p>
          <w:p w14:paraId="1F3963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TLOC extension;</w:t>
            </w:r>
          </w:p>
          <w:p w14:paraId="77AA28B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 options support;</w:t>
            </w:r>
          </w:p>
          <w:p w14:paraId="55E9F0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BFD for BGP/OSPF/EIGRP - CLI template;</w:t>
            </w:r>
          </w:p>
          <w:p w14:paraId="0AC29C7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NTP server support;</w:t>
            </w:r>
          </w:p>
          <w:p w14:paraId="66F9AB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DIA Tracker: Interface tracker for DIA;</w:t>
            </w:r>
          </w:p>
          <w:p w14:paraId="132E28B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ability to track static route on service VPN;</w:t>
            </w:r>
          </w:p>
          <w:p w14:paraId="6CDC58E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per-class/DSCP; </w:t>
            </w:r>
          </w:p>
          <w:p w14:paraId="5C4B9C1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BFD for AAR;</w:t>
            </w:r>
          </w:p>
          <w:p w14:paraId="5BB0EAA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ACL matching ICMP;</w:t>
            </w:r>
          </w:p>
          <w:p w14:paraId="2D2745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enhanced policy-based routing (CLI template);</w:t>
            </w:r>
          </w:p>
          <w:p w14:paraId="569BDC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jumbo frames (1GE interface);</w:t>
            </w:r>
          </w:p>
          <w:p w14:paraId="345FF4B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custom app support (for application aware routing);</w:t>
            </w:r>
          </w:p>
          <w:p w14:paraId="603C739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SD-AVC;</w:t>
            </w:r>
          </w:p>
          <w:p w14:paraId="0A2B308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flexible Netflow;</w:t>
            </w:r>
          </w:p>
          <w:p w14:paraId="35F1D8F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Dual stack support (for transport);</w:t>
            </w:r>
          </w:p>
          <w:p w14:paraId="1A1CD2A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inbound and outbound filtering;</w:t>
            </w:r>
          </w:p>
          <w:p w14:paraId="5ECAD5A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support for NAT64 devices (DIA);</w:t>
            </w:r>
          </w:p>
          <w:p w14:paraId="2672E78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dual-stack ;</w:t>
            </w:r>
          </w:p>
          <w:p w14:paraId="2128A53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service-side interface support (Gigabit, subinterface, SVI, loopback);</w:t>
            </w:r>
          </w:p>
          <w:p w14:paraId="2F572F4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unicast addressing (link-local, unique-local and global);</w:t>
            </w:r>
          </w:p>
          <w:p w14:paraId="3EBCCF9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anycast addressing;</w:t>
            </w:r>
          </w:p>
          <w:p w14:paraId="6C75B5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QoS;</w:t>
            </w:r>
          </w:p>
          <w:p w14:paraId="7AC72FB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QoS policer;</w:t>
            </w:r>
          </w:p>
          <w:p w14:paraId="467E948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QoS DSCP rewrite (inbound and outbound);</w:t>
            </w:r>
          </w:p>
          <w:p w14:paraId="01144A5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 name server;</w:t>
            </w:r>
          </w:p>
          <w:p w14:paraId="0275DDC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ICMP redirects;</w:t>
            </w:r>
          </w:p>
          <w:p w14:paraId="7EC8F44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VRRP;</w:t>
            </w:r>
          </w:p>
          <w:p w14:paraId="7E5031D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 relay agent;</w:t>
            </w:r>
          </w:p>
          <w:p w14:paraId="659552A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SSH;</w:t>
            </w:r>
          </w:p>
          <w:p w14:paraId="2C8FF3F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traceroute;</w:t>
            </w:r>
          </w:p>
          <w:p w14:paraId="298FC9F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SNMP logging server;</w:t>
            </w:r>
          </w:p>
          <w:p w14:paraId="0C42C94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OnRamp for Multicloud (GCP, AWS, Azure) – Site to Cloud connectivity;</w:t>
            </w:r>
          </w:p>
          <w:p w14:paraId="7930F23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OnRamp for SaaS;</w:t>
            </w:r>
          </w:p>
          <w:p w14:paraId="65C871F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monitoring capabilities for Multicloud and SaaS via vManage;</w:t>
            </w:r>
          </w:p>
          <w:p w14:paraId="55C89F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SD-WAN Application Intelligence Engine (SAIE);</w:t>
            </w:r>
          </w:p>
          <w:p w14:paraId="0C95B68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3rd party cloud security providers;</w:t>
            </w:r>
          </w:p>
          <w:p w14:paraId="6689394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SD-WAN auto-register and IPsec auto-tunnel to Cisco Umbrella;</w:t>
            </w:r>
          </w:p>
          <w:p w14:paraId="396754E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Umbrella DNS monitoring (visibility only);</w:t>
            </w:r>
          </w:p>
          <w:p w14:paraId="4C2FE76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Umbrella app discovery;</w:t>
            </w:r>
          </w:p>
          <w:p w14:paraId="64CDF01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 AMP geo location-based filtering;</w:t>
            </w:r>
          </w:p>
          <w:p w14:paraId="4B80F56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interface zone support;</w:t>
            </w:r>
          </w:p>
          <w:p w14:paraId="2D544A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high speed logging;</w:t>
            </w:r>
          </w:p>
          <w:p w14:paraId="15BE3D3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URL filtering;</w:t>
            </w:r>
          </w:p>
          <w:p w14:paraId="3E3FA0A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TLS/SSL proxy support with SD-WAN;</w:t>
            </w:r>
          </w:p>
          <w:p w14:paraId="2A03048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FQDN support;</w:t>
            </w:r>
          </w:p>
          <w:p w14:paraId="50D285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enterprise certificate support;</w:t>
            </w:r>
          </w:p>
          <w:p w14:paraId="3768430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ACL;</w:t>
            </w:r>
          </w:p>
          <w:p w14:paraId="35E0B9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pairwise key support for IPsec;</w:t>
            </w:r>
          </w:p>
          <w:p w14:paraId="092974C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SSH login with key;</w:t>
            </w:r>
          </w:p>
          <w:p w14:paraId="1671024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syslog over TLS;</w:t>
            </w:r>
          </w:p>
          <w:p w14:paraId="08723D4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enterprise firewall with Talos powered IPS and application controls;</w:t>
            </w:r>
          </w:p>
          <w:p w14:paraId="21A5CFE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RADIUS;</w:t>
            </w:r>
          </w:p>
          <w:p w14:paraId="71263F4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DNS (including local bypass);</w:t>
            </w:r>
          </w:p>
          <w:p w14:paraId="6355E5D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basic path optimization with FEC and packet duplication;</w:t>
            </w:r>
          </w:p>
          <w:p w14:paraId="715EAC7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AppQoE: TCP optimization;</w:t>
            </w:r>
          </w:p>
          <w:p w14:paraId="580C134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ZBFW – multiple prefix list;</w:t>
            </w:r>
          </w:p>
          <w:p w14:paraId="624C329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rule-set support;</w:t>
            </w:r>
          </w:p>
          <w:p w14:paraId="203D42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microtenancy: RBAC by VPN;</w:t>
            </w:r>
          </w:p>
          <w:p w14:paraId="693CDB1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policy based routing to SIG;</w:t>
            </w:r>
          </w:p>
          <w:p w14:paraId="5EAE7B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weighted load-balancing for multiple SIG tunnels</w:t>
            </w:r>
          </w:p>
          <w:p w14:paraId="66BDAA7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Per-VPN QoS;</w:t>
            </w:r>
          </w:p>
          <w:p w14:paraId="154181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adaptive QOS support;</w:t>
            </w:r>
          </w:p>
          <w:p w14:paraId="0D1114E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dynamic on-demand tunnel support;</w:t>
            </w:r>
          </w:p>
          <w:p w14:paraId="635B340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Hierarchical SD-WAN;</w:t>
            </w:r>
          </w:p>
          <w:p w14:paraId="3CE91D5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IGMPv3;</w:t>
            </w:r>
          </w:p>
          <w:p w14:paraId="56181A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PIM SSM;</w:t>
            </w:r>
          </w:p>
          <w:p w14:paraId="75B2172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auto RP;</w:t>
            </w:r>
          </w:p>
          <w:p w14:paraId="4C3014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app-aware routing policy support for multicast;</w:t>
            </w:r>
          </w:p>
          <w:p w14:paraId="6B9BF00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vManage (design, deploy, monitor) for virtualized platforms;</w:t>
            </w:r>
          </w:p>
          <w:p w14:paraId="5854A67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service insertion - tracker support;</w:t>
            </w:r>
          </w:p>
          <w:p w14:paraId="428326B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AppQoE – multiple service nodes;</w:t>
            </w:r>
          </w:p>
          <w:p w14:paraId="3C71A54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OnRamp for SaaS with vAnalytics1 and telemetry;</w:t>
            </w:r>
          </w:p>
          <w:p w14:paraId="6EDF853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Cloud OnRamp for Multicloud – Site to Site and Cloud to Cloud connectivity via mid-mile with Cloud </w:t>
            </w:r>
          </w:p>
          <w:p w14:paraId="10066DB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Interconnect/Cloud Backbone;</w:t>
            </w:r>
          </w:p>
          <w:p w14:paraId="61AAE98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M365 Informed Network Routing;</w:t>
            </w:r>
          </w:p>
          <w:p w14:paraId="74CEC6A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automated service stitching;</w:t>
            </w:r>
          </w:p>
          <w:p w14:paraId="3BA7B4E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Cloud OnRamp for Colocation;</w:t>
            </w:r>
          </w:p>
          <w:p w14:paraId="2BD30F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vAnalytics1;</w:t>
            </w:r>
          </w:p>
          <w:p w14:paraId="5AFB143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Predictive Path;</w:t>
            </w:r>
          </w:p>
          <w:p w14:paraId="6D4318A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Recommendations (powered by ThousandEyes WAN Insights);</w:t>
            </w:r>
          </w:p>
          <w:p w14:paraId="4216CC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Integrated border for campus (SD-Access);</w:t>
            </w:r>
          </w:p>
          <w:p w14:paraId="7FBD10D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integration with Cisco ACI for application SLA;</w:t>
            </w:r>
          </w:p>
          <w:p w14:paraId="133D20C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FXO;</w:t>
            </w:r>
          </w:p>
          <w:p w14:paraId="2B1ECC7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FXS;</w:t>
            </w:r>
          </w:p>
          <w:p w14:paraId="5796626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and FXS/DID interface support;</w:t>
            </w:r>
          </w:p>
          <w:p w14:paraId="3F4997E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SIP trunk to Cisco Unified Communications Manager support;</w:t>
            </w:r>
          </w:p>
          <w:p w14:paraId="05546EC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voice module and SRST integration support;</w:t>
            </w:r>
          </w:p>
          <w:p w14:paraId="132997B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voice configuration and policy definition;</w:t>
            </w:r>
          </w:p>
          <w:p w14:paraId="3DAD0FE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support for T1/E1 PRI for UC;</w:t>
            </w:r>
          </w:p>
          <w:p w14:paraId="3348105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DSP farm support;</w:t>
            </w:r>
          </w:p>
          <w:p w14:paraId="6EA8E53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DRE and LZ (including SSL proxy);</w:t>
            </w:r>
          </w:p>
          <w:p w14:paraId="606EBE4E"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Підписка повинна включати не менше ніж 50 Мбіт/с агрегованої пропускної спроможності для IPS трафіку;</w:t>
            </w:r>
          </w:p>
          <w:p w14:paraId="1387A742"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Підписка повинна включати автономний режим роботи маршрутизатору (Cisco IOS XE Autonomous Mode);</w:t>
            </w:r>
          </w:p>
          <w:p w14:paraId="56283830"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Підписка повинна включати варіант локального розгортання (On-Premise);</w:t>
            </w:r>
          </w:p>
          <w:p w14:paraId="60005F87"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Тривалість підписки повинна бути не менше ніж 36 місяців.</w:t>
            </w:r>
          </w:p>
        </w:tc>
      </w:tr>
      <w:tr w:rsidR="00D10481" w:rsidRPr="00D10481" w14:paraId="50A5C650" w14:textId="77777777" w:rsidTr="00797CB6">
        <w:trPr>
          <w:trHeight w:val="420"/>
          <w:jc w:val="center"/>
        </w:trPr>
        <w:tc>
          <w:tcPr>
            <w:tcW w:w="690" w:type="dxa"/>
            <w:vMerge/>
            <w:tcMar>
              <w:top w:w="100" w:type="dxa"/>
              <w:left w:w="100" w:type="dxa"/>
              <w:bottom w:w="100" w:type="dxa"/>
              <w:right w:w="100" w:type="dxa"/>
            </w:tcMar>
          </w:tcPr>
          <w:p w14:paraId="6AA63C16"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065BF9DA"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Технічна підтримка та гарантії</w:t>
            </w:r>
          </w:p>
        </w:tc>
        <w:tc>
          <w:tcPr>
            <w:tcW w:w="7439" w:type="dxa"/>
            <w:gridSpan w:val="3"/>
            <w:tcMar>
              <w:top w:w="100" w:type="dxa"/>
              <w:left w:w="100" w:type="dxa"/>
              <w:bottom w:w="100" w:type="dxa"/>
              <w:right w:w="100" w:type="dxa"/>
            </w:tcMar>
          </w:tcPr>
          <w:p w14:paraId="118CDC37"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Сервісна підписка повинна мати строк дії не менше ніж на 36 місяців;</w:t>
            </w:r>
          </w:p>
          <w:p w14:paraId="63E8F069"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Умови розширеної гарантії повинні включати в себе можливість реєстрації сервісних випадків в режимі 24х7х365, </w:t>
            </w:r>
            <w:r w:rsidRPr="00D10481">
              <w:rPr>
                <w:rFonts w:ascii="Times New Roman" w:eastAsia="Times New Roman" w:hAnsi="Times New Roman" w:cs="Times New Roman"/>
                <w:sz w:val="24"/>
                <w:szCs w:val="24"/>
              </w:rPr>
              <w:lastRenderedPageBreak/>
              <w:t>оновлення мікрокоду системи і версій встановленого програмного забезпечення;</w:t>
            </w:r>
          </w:p>
          <w:p w14:paraId="7A5BE274"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Виробник забезпечує авансову гарантійну заміну обладнання в режимі 8х5хNBD (5 днів, 8 години, наступний робочий день), у випадку підтвердження необхідності заміни спеціалістом сервісної підтримки виробника;</w:t>
            </w:r>
          </w:p>
          <w:p w14:paraId="320B7513"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Надання консультацій по телефону, електронній пошті та на сайті підтримки виробника по питаннях установки, конфігурування і експлуатації обладнання з понеділка по неділю з 00.00 до 24.00 годин цілодобово;</w:t>
            </w:r>
          </w:p>
          <w:p w14:paraId="7C973A55"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Постійний (24х7) авторизований доступ до сайту виробника.</w:t>
            </w:r>
          </w:p>
        </w:tc>
      </w:tr>
    </w:tbl>
    <w:p w14:paraId="02B5D996"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p>
    <w:p w14:paraId="1568FFE6"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0481">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782DDB11"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0481">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123A1B15"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0481">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5A2DAA80" w14:textId="77777777" w:rsidR="00D10481" w:rsidRPr="00D10481" w:rsidRDefault="00D10481" w:rsidP="00D10481">
      <w:pPr>
        <w:spacing w:after="0" w:line="240" w:lineRule="auto"/>
        <w:ind w:firstLine="567"/>
        <w:jc w:val="both"/>
        <w:rPr>
          <w:rFonts w:ascii="Times New Roman" w:eastAsia="Calibri" w:hAnsi="Times New Roman" w:cs="Times New Roman"/>
          <w:b/>
          <w:bCs/>
          <w:i/>
          <w:iCs/>
          <w:sz w:val="24"/>
          <w:szCs w:val="24"/>
        </w:rPr>
      </w:pPr>
    </w:p>
    <w:p w14:paraId="24F2E158" w14:textId="77777777" w:rsidR="00D10481" w:rsidRPr="00D10481" w:rsidRDefault="00D10481" w:rsidP="00D10481">
      <w:pPr>
        <w:spacing w:after="0" w:line="240" w:lineRule="auto"/>
        <w:ind w:firstLine="567"/>
        <w:jc w:val="both"/>
        <w:rPr>
          <w:rFonts w:ascii="Times New Roman" w:eastAsia="Calibri" w:hAnsi="Times New Roman" w:cs="Times New Roman"/>
          <w:b/>
          <w:bCs/>
          <w:sz w:val="24"/>
          <w:szCs w:val="24"/>
        </w:rPr>
      </w:pPr>
      <w:r w:rsidRPr="00D10481">
        <w:rPr>
          <w:rFonts w:ascii="Times New Roman" w:eastAsia="Calibri" w:hAnsi="Times New Roman" w:cs="Times New Roman"/>
          <w:b/>
          <w:bCs/>
          <w:i/>
          <w:iCs/>
          <w:sz w:val="24"/>
          <w:szCs w:val="24"/>
        </w:rPr>
        <w:t>Примітка:   Якщо учасник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14BBB594" w14:textId="77777777" w:rsidR="00D10481" w:rsidRPr="00D10481" w:rsidRDefault="00D10481" w:rsidP="00D10481">
      <w:pPr>
        <w:tabs>
          <w:tab w:val="left" w:pos="0"/>
        </w:tabs>
        <w:spacing w:after="0" w:line="240" w:lineRule="auto"/>
        <w:ind w:firstLine="567"/>
        <w:jc w:val="both"/>
        <w:rPr>
          <w:rFonts w:ascii="Times New Roman" w:eastAsia="Calibri" w:hAnsi="Times New Roman" w:cs="Times New Roman"/>
          <w:b/>
          <w:i/>
          <w:sz w:val="24"/>
          <w:szCs w:val="24"/>
          <w:lang w:eastAsia="zh-CN"/>
        </w:rPr>
      </w:pPr>
    </w:p>
    <w:p w14:paraId="0031A29F" w14:textId="77777777" w:rsidR="00D10481" w:rsidRPr="00D10481" w:rsidRDefault="00D10481" w:rsidP="00D10481">
      <w:pPr>
        <w:tabs>
          <w:tab w:val="left" w:pos="0"/>
        </w:tabs>
        <w:spacing w:after="0" w:line="240" w:lineRule="auto"/>
        <w:ind w:firstLine="567"/>
        <w:jc w:val="both"/>
        <w:rPr>
          <w:rFonts w:ascii="Times New Roman" w:eastAsia="Aptos" w:hAnsi="Times New Roman" w:cs="Times New Roman"/>
          <w:sz w:val="24"/>
          <w:szCs w:val="24"/>
        </w:rPr>
      </w:pPr>
      <w:r w:rsidRPr="00D10481">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3E871C6D"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D10481">
        <w:rPr>
          <w:rFonts w:ascii="Times New Roman" w:eastAsia="Times New Roman" w:hAnsi="Times New Roman" w:cs="Times New Roman"/>
          <w:sz w:val="24"/>
          <w:szCs w:val="24"/>
          <w:lang w:eastAsia="ru-RU"/>
        </w:rPr>
        <w:t>14 904 901,50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D020CE">
        <w:rPr>
          <w:rFonts w:ascii="Times New Roman" w:eastAsia="Times New Roman" w:hAnsi="Times New Roman" w:cs="Times New Roman"/>
          <w:sz w:val="24"/>
          <w:szCs w:val="24"/>
          <w:lang w:eastAsia="ru-RU"/>
        </w:rPr>
        <w:t>(</w:t>
      </w:r>
      <w:r w:rsidR="00D10481">
        <w:rPr>
          <w:rFonts w:ascii="Times New Roman" w:eastAsia="Times New Roman" w:hAnsi="Times New Roman" w:cs="Times New Roman"/>
          <w:sz w:val="24"/>
          <w:szCs w:val="24"/>
          <w:lang w:eastAsia="ru-RU"/>
        </w:rPr>
        <w:t>чотирнадцять мільйонів дев’ятсот чотири тисячі дев’ятсот одна</w:t>
      </w:r>
      <w:r w:rsidR="00D020CE">
        <w:rPr>
          <w:rFonts w:ascii="Times New Roman" w:eastAsia="Times New Roman" w:hAnsi="Times New Roman" w:cs="Times New Roman"/>
          <w:sz w:val="24"/>
          <w:szCs w:val="24"/>
          <w:lang w:eastAsia="ru-RU"/>
        </w:rPr>
        <w:t xml:space="preserve"> </w:t>
      </w:r>
      <w:r w:rsidR="00D10481">
        <w:rPr>
          <w:rFonts w:ascii="Times New Roman" w:eastAsia="Times New Roman" w:hAnsi="Times New Roman" w:cs="Times New Roman"/>
          <w:sz w:val="24"/>
          <w:szCs w:val="24"/>
          <w:lang w:eastAsia="ru-RU"/>
        </w:rPr>
        <w:t>гривня</w:t>
      </w:r>
      <w:r w:rsidR="00E1484E">
        <w:rPr>
          <w:rFonts w:ascii="Times New Roman" w:eastAsia="Times New Roman" w:hAnsi="Times New Roman" w:cs="Times New Roman"/>
          <w:sz w:val="24"/>
          <w:szCs w:val="24"/>
          <w:lang w:eastAsia="ru-RU"/>
        </w:rPr>
        <w:t xml:space="preserve"> </w:t>
      </w:r>
      <w:r w:rsidR="00D10481">
        <w:rPr>
          <w:rFonts w:ascii="Times New Roman" w:eastAsia="Times New Roman" w:hAnsi="Times New Roman" w:cs="Times New Roman"/>
          <w:sz w:val="24"/>
          <w:szCs w:val="24"/>
          <w:lang w:eastAsia="ru-RU"/>
        </w:rPr>
        <w:t>5</w:t>
      </w:r>
      <w:r w:rsidR="00D020CE">
        <w:rPr>
          <w:rFonts w:ascii="Times New Roman" w:eastAsia="Times New Roman" w:hAnsi="Times New Roman" w:cs="Times New Roman"/>
          <w:sz w:val="24"/>
          <w:szCs w:val="24"/>
          <w:lang w:eastAsia="ru-RU"/>
        </w:rPr>
        <w:t>0</w:t>
      </w:r>
      <w:r w:rsidRPr="00F90C90">
        <w:rPr>
          <w:rFonts w:ascii="Times New Roman" w:eastAsia="Times New Roman" w:hAnsi="Times New Roman" w:cs="Times New Roman"/>
          <w:sz w:val="24"/>
          <w:szCs w:val="24"/>
          <w:lang w:eastAsia="ru-RU"/>
        </w:rPr>
        <w:t xml:space="preserve"> коп.) </w:t>
      </w:r>
      <w:r w:rsidR="00D020CE">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та сільського господарства України 18.02.2020 № 275 та розрахована, як середньоарифметичне значення масиву отриманих даних, що розраховується за такою формулою: Цод = (Ц1 +… + Цк)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lastRenderedPageBreak/>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6B3EB" w14:textId="77777777" w:rsidR="00A721AA" w:rsidRDefault="00A721AA">
      <w:pPr>
        <w:spacing w:after="0" w:line="240" w:lineRule="auto"/>
      </w:pPr>
      <w:r>
        <w:separator/>
      </w:r>
    </w:p>
  </w:endnote>
  <w:endnote w:type="continuationSeparator" w:id="0">
    <w:p w14:paraId="152BF112" w14:textId="77777777" w:rsidR="00A721AA" w:rsidRDefault="00A72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Carlito">
    <w:altName w:val="Calibri"/>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40036" w14:textId="77777777" w:rsidR="00A721AA" w:rsidRDefault="00A721AA">
      <w:pPr>
        <w:spacing w:after="0" w:line="240" w:lineRule="auto"/>
      </w:pPr>
      <w:r>
        <w:separator/>
      </w:r>
    </w:p>
  </w:footnote>
  <w:footnote w:type="continuationSeparator" w:id="0">
    <w:p w14:paraId="1DB5D471" w14:textId="77777777" w:rsidR="00A721AA" w:rsidRDefault="00A721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12A459D"/>
    <w:multiLevelType w:val="multilevel"/>
    <w:tmpl w:val="D122A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8055454"/>
    <w:multiLevelType w:val="multilevel"/>
    <w:tmpl w:val="A802D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89413E5"/>
    <w:multiLevelType w:val="multilevel"/>
    <w:tmpl w:val="D02A9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7F5508"/>
    <w:multiLevelType w:val="multilevel"/>
    <w:tmpl w:val="A0684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0660028"/>
    <w:multiLevelType w:val="multilevel"/>
    <w:tmpl w:val="78DAC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70A567B"/>
    <w:multiLevelType w:val="multilevel"/>
    <w:tmpl w:val="002E4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493D0F"/>
    <w:multiLevelType w:val="multilevel"/>
    <w:tmpl w:val="6FE2C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74D1641"/>
    <w:multiLevelType w:val="multilevel"/>
    <w:tmpl w:val="F7ECA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5425482">
    <w:abstractNumId w:val="0"/>
  </w:num>
  <w:num w:numId="2" w16cid:durableId="1618180582">
    <w:abstractNumId w:val="7"/>
  </w:num>
  <w:num w:numId="3" w16cid:durableId="909123811">
    <w:abstractNumId w:val="13"/>
  </w:num>
  <w:num w:numId="4" w16cid:durableId="1367173884">
    <w:abstractNumId w:val="11"/>
  </w:num>
  <w:num w:numId="5" w16cid:durableId="1335378166">
    <w:abstractNumId w:val="14"/>
  </w:num>
  <w:num w:numId="6" w16cid:durableId="1082070930">
    <w:abstractNumId w:val="12"/>
  </w:num>
  <w:num w:numId="7" w16cid:durableId="1833594557">
    <w:abstractNumId w:val="10"/>
  </w:num>
  <w:num w:numId="8" w16cid:durableId="1384866080">
    <w:abstractNumId w:val="9"/>
  </w:num>
  <w:num w:numId="9" w16cid:durableId="67141817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D34"/>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1629B"/>
    <w:rsid w:val="00630A56"/>
    <w:rsid w:val="00630B5E"/>
    <w:rsid w:val="00632F6D"/>
    <w:rsid w:val="0064697A"/>
    <w:rsid w:val="00662596"/>
    <w:rsid w:val="00672B6A"/>
    <w:rsid w:val="00676539"/>
    <w:rsid w:val="006900D6"/>
    <w:rsid w:val="006A1D09"/>
    <w:rsid w:val="006A294A"/>
    <w:rsid w:val="006A43A6"/>
    <w:rsid w:val="006A59A3"/>
    <w:rsid w:val="006C407C"/>
    <w:rsid w:val="006D4F36"/>
    <w:rsid w:val="006E344A"/>
    <w:rsid w:val="006E3BAE"/>
    <w:rsid w:val="00700467"/>
    <w:rsid w:val="007005BD"/>
    <w:rsid w:val="00710189"/>
    <w:rsid w:val="007136CE"/>
    <w:rsid w:val="00733EFC"/>
    <w:rsid w:val="0073701E"/>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721AA"/>
    <w:rsid w:val="00AC0933"/>
    <w:rsid w:val="00AC6621"/>
    <w:rsid w:val="00AE6E63"/>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020CE"/>
    <w:rsid w:val="00D10481"/>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paragraph" w:styleId="6">
    <w:name w:val="heading 6"/>
    <w:basedOn w:val="a"/>
    <w:next w:val="a"/>
    <w:link w:val="60"/>
    <w:uiPriority w:val="9"/>
    <w:unhideWhenUsed/>
    <w:qFormat/>
    <w:rsid w:val="00D10481"/>
    <w:pPr>
      <w:keepNext/>
      <w:keepLines/>
      <w:suppressAutoHyphen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D10481"/>
    <w:pPr>
      <w:keepNext/>
      <w:keepLines/>
      <w:suppressAutoHyphen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D10481"/>
    <w:pPr>
      <w:keepNext/>
      <w:keepLines/>
      <w:suppressAutoHyphen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D10481"/>
    <w:pPr>
      <w:keepNext/>
      <w:keepLines/>
      <w:suppressAutoHyphen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qFormat/>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qFormat/>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link w:val="af1"/>
    <w:uiPriority w:val="34"/>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2">
    <w:name w:val="annotation text"/>
    <w:basedOn w:val="a"/>
    <w:link w:val="af3"/>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3">
    <w:name w:val="Текст примітки Знак"/>
    <w:basedOn w:val="a0"/>
    <w:link w:val="af2"/>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qFormat/>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qFormat/>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4">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qFormat/>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uiPriority w:val="9"/>
    <w:qFormat/>
    <w:rsid w:val="00D713FC"/>
    <w:rPr>
      <w:rFonts w:ascii="Times New Roman" w:eastAsia="Times New Roman" w:hAnsi="Times New Roman" w:cs="Times New Roman"/>
      <w:sz w:val="28"/>
      <w:szCs w:val="28"/>
      <w:lang w:val="uk-UA" w:eastAsia="ar-SA"/>
    </w:rPr>
  </w:style>
  <w:style w:type="paragraph" w:customStyle="1" w:styleId="71">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2">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uiPriority w:val="9"/>
    <w:qFormat/>
    <w:rsid w:val="00D10481"/>
    <w:rPr>
      <w:rFonts w:ascii="Arial" w:eastAsia="Arial" w:hAnsi="Arial" w:cs="Arial"/>
      <w:b/>
      <w:bCs/>
      <w:lang w:val="uk-UA"/>
    </w:rPr>
  </w:style>
  <w:style w:type="character" w:customStyle="1" w:styleId="70">
    <w:name w:val="Заголовок 7 Знак"/>
    <w:basedOn w:val="a0"/>
    <w:link w:val="7"/>
    <w:uiPriority w:val="9"/>
    <w:qFormat/>
    <w:rsid w:val="00D10481"/>
    <w:rPr>
      <w:rFonts w:ascii="Arial" w:eastAsia="Arial" w:hAnsi="Arial" w:cs="Arial"/>
      <w:b/>
      <w:bCs/>
      <w:i/>
      <w:iCs/>
      <w:lang w:val="uk-UA"/>
    </w:rPr>
  </w:style>
  <w:style w:type="character" w:customStyle="1" w:styleId="80">
    <w:name w:val="Заголовок 8 Знак"/>
    <w:basedOn w:val="a0"/>
    <w:link w:val="8"/>
    <w:uiPriority w:val="9"/>
    <w:qFormat/>
    <w:rsid w:val="00D10481"/>
    <w:rPr>
      <w:rFonts w:ascii="Arial" w:eastAsia="Arial" w:hAnsi="Arial" w:cs="Arial"/>
      <w:i/>
      <w:iCs/>
      <w:lang w:val="uk-UA"/>
    </w:rPr>
  </w:style>
  <w:style w:type="character" w:customStyle="1" w:styleId="90">
    <w:name w:val="Заголовок 9 Знак"/>
    <w:basedOn w:val="a0"/>
    <w:link w:val="9"/>
    <w:uiPriority w:val="9"/>
    <w:qFormat/>
    <w:rsid w:val="00D10481"/>
    <w:rPr>
      <w:rFonts w:ascii="Arial" w:eastAsia="Arial" w:hAnsi="Arial" w:cs="Arial"/>
      <w:i/>
      <w:iCs/>
      <w:sz w:val="21"/>
      <w:szCs w:val="21"/>
      <w:lang w:val="uk-UA"/>
    </w:rPr>
  </w:style>
  <w:style w:type="character" w:customStyle="1" w:styleId="af5">
    <w:name w:val="Назва Знак"/>
    <w:basedOn w:val="a0"/>
    <w:link w:val="af6"/>
    <w:uiPriority w:val="10"/>
    <w:qFormat/>
    <w:rsid w:val="00D10481"/>
    <w:rPr>
      <w:sz w:val="48"/>
      <w:szCs w:val="48"/>
    </w:rPr>
  </w:style>
  <w:style w:type="character" w:customStyle="1" w:styleId="af7">
    <w:name w:val="Підзаголовок Знак"/>
    <w:basedOn w:val="a0"/>
    <w:link w:val="af8"/>
    <w:uiPriority w:val="11"/>
    <w:qFormat/>
    <w:rsid w:val="00D10481"/>
    <w:rPr>
      <w:sz w:val="24"/>
      <w:szCs w:val="24"/>
    </w:rPr>
  </w:style>
  <w:style w:type="character" w:customStyle="1" w:styleId="af9">
    <w:name w:val="Цитата Знак"/>
    <w:link w:val="afa"/>
    <w:uiPriority w:val="29"/>
    <w:qFormat/>
    <w:rsid w:val="00D10481"/>
    <w:rPr>
      <w:i/>
    </w:rPr>
  </w:style>
  <w:style w:type="character" w:customStyle="1" w:styleId="afb">
    <w:name w:val="Насичена цитата Знак"/>
    <w:link w:val="afc"/>
    <w:uiPriority w:val="30"/>
    <w:qFormat/>
    <w:rsid w:val="00D10481"/>
    <w:rPr>
      <w:i/>
      <w:shd w:val="clear" w:color="auto" w:fill="F2F2F2"/>
    </w:rPr>
  </w:style>
  <w:style w:type="character" w:customStyle="1" w:styleId="afd">
    <w:name w:val="Верхній колонтитул Знак"/>
    <w:basedOn w:val="a0"/>
    <w:link w:val="afe"/>
    <w:uiPriority w:val="99"/>
    <w:qFormat/>
    <w:rsid w:val="00D10481"/>
  </w:style>
  <w:style w:type="character" w:customStyle="1" w:styleId="FooterChar">
    <w:name w:val="Footer Char"/>
    <w:basedOn w:val="a0"/>
    <w:uiPriority w:val="99"/>
    <w:qFormat/>
    <w:rsid w:val="00D10481"/>
  </w:style>
  <w:style w:type="character" w:customStyle="1" w:styleId="aff">
    <w:name w:val="Текст виноски Знак"/>
    <w:link w:val="aff0"/>
    <w:uiPriority w:val="99"/>
    <w:semiHidden/>
    <w:qFormat/>
    <w:rsid w:val="00D10481"/>
    <w:rPr>
      <w:sz w:val="18"/>
    </w:rPr>
  </w:style>
  <w:style w:type="character" w:customStyle="1" w:styleId="aff1">
    <w:name w:val="Символи виноски"/>
    <w:uiPriority w:val="99"/>
    <w:unhideWhenUsed/>
    <w:qFormat/>
    <w:rsid w:val="00D10481"/>
    <w:rPr>
      <w:vertAlign w:val="superscript"/>
    </w:rPr>
  </w:style>
  <w:style w:type="character" w:styleId="aff2">
    <w:name w:val="footnote reference"/>
    <w:rsid w:val="00D10481"/>
    <w:rPr>
      <w:vertAlign w:val="superscript"/>
    </w:rPr>
  </w:style>
  <w:style w:type="character" w:customStyle="1" w:styleId="aff3">
    <w:name w:val="Текст кінцевої виноски Знак"/>
    <w:link w:val="aff4"/>
    <w:uiPriority w:val="99"/>
    <w:semiHidden/>
    <w:qFormat/>
    <w:rsid w:val="00D10481"/>
    <w:rPr>
      <w:sz w:val="20"/>
    </w:rPr>
  </w:style>
  <w:style w:type="character" w:customStyle="1" w:styleId="aff5">
    <w:name w:val="Символи кінцевої виноски"/>
    <w:uiPriority w:val="99"/>
    <w:semiHidden/>
    <w:unhideWhenUsed/>
    <w:qFormat/>
    <w:rsid w:val="00D10481"/>
    <w:rPr>
      <w:vertAlign w:val="superscript"/>
    </w:rPr>
  </w:style>
  <w:style w:type="character" w:styleId="aff6">
    <w:name w:val="endnote reference"/>
    <w:rsid w:val="00D10481"/>
    <w:rPr>
      <w:vertAlign w:val="superscript"/>
    </w:rPr>
  </w:style>
  <w:style w:type="paragraph" w:customStyle="1" w:styleId="aff7">
    <w:name w:val="Заголовок"/>
    <w:basedOn w:val="a"/>
    <w:next w:val="aff8"/>
    <w:qFormat/>
    <w:rsid w:val="00D10481"/>
    <w:pPr>
      <w:keepNext/>
      <w:suppressAutoHyphens/>
      <w:spacing w:before="240" w:after="120"/>
    </w:pPr>
    <w:rPr>
      <w:rFonts w:ascii="Carlito" w:eastAsia="Noto Sans CJK SC" w:hAnsi="Carlito" w:cs="Noto Sans Devanagari"/>
      <w:sz w:val="28"/>
      <w:szCs w:val="28"/>
    </w:rPr>
  </w:style>
  <w:style w:type="paragraph" w:styleId="aff8">
    <w:name w:val="Body Text"/>
    <w:basedOn w:val="a"/>
    <w:link w:val="aff9"/>
    <w:rsid w:val="00D10481"/>
    <w:pPr>
      <w:suppressAutoHyphens/>
      <w:spacing w:after="140" w:line="276" w:lineRule="auto"/>
    </w:pPr>
  </w:style>
  <w:style w:type="character" w:customStyle="1" w:styleId="aff9">
    <w:name w:val="Основний текст Знак"/>
    <w:basedOn w:val="a0"/>
    <w:link w:val="aff8"/>
    <w:rsid w:val="00D10481"/>
    <w:rPr>
      <w:lang w:val="uk-UA"/>
    </w:rPr>
  </w:style>
  <w:style w:type="paragraph" w:styleId="affa">
    <w:name w:val="List"/>
    <w:basedOn w:val="aff8"/>
    <w:rsid w:val="00D10481"/>
    <w:rPr>
      <w:rFonts w:cs="Noto Sans Devanagari"/>
    </w:rPr>
  </w:style>
  <w:style w:type="paragraph" w:styleId="affb">
    <w:name w:val="caption"/>
    <w:basedOn w:val="a"/>
    <w:qFormat/>
    <w:rsid w:val="00D10481"/>
    <w:pPr>
      <w:suppressLineNumbers/>
      <w:suppressAutoHyphens/>
      <w:spacing w:before="120" w:after="120"/>
    </w:pPr>
    <w:rPr>
      <w:rFonts w:cs="Noto Sans Devanagari"/>
      <w:i/>
      <w:iCs/>
      <w:sz w:val="24"/>
      <w:szCs w:val="24"/>
    </w:rPr>
  </w:style>
  <w:style w:type="paragraph" w:customStyle="1" w:styleId="affc">
    <w:name w:val="Покажчик"/>
    <w:basedOn w:val="a"/>
    <w:qFormat/>
    <w:rsid w:val="00D10481"/>
    <w:pPr>
      <w:suppressLineNumbers/>
      <w:suppressAutoHyphens/>
    </w:pPr>
    <w:rPr>
      <w:rFonts w:cs="Noto Sans Devanagari"/>
    </w:rPr>
  </w:style>
  <w:style w:type="paragraph" w:styleId="af6">
    <w:name w:val="Title"/>
    <w:basedOn w:val="a"/>
    <w:next w:val="a"/>
    <w:link w:val="af5"/>
    <w:uiPriority w:val="10"/>
    <w:qFormat/>
    <w:rsid w:val="00D10481"/>
    <w:pPr>
      <w:suppressAutoHyphens/>
      <w:spacing w:before="300" w:after="200"/>
      <w:contextualSpacing/>
    </w:pPr>
    <w:rPr>
      <w:sz w:val="48"/>
      <w:szCs w:val="48"/>
      <w:lang w:val="ru-RU"/>
    </w:rPr>
  </w:style>
  <w:style w:type="character" w:customStyle="1" w:styleId="17">
    <w:name w:val="Назва Знак1"/>
    <w:basedOn w:val="a0"/>
    <w:uiPriority w:val="10"/>
    <w:rsid w:val="00D10481"/>
    <w:rPr>
      <w:rFonts w:asciiTheme="majorHAnsi" w:eastAsiaTheme="majorEastAsia" w:hAnsiTheme="majorHAnsi" w:cstheme="majorBidi"/>
      <w:spacing w:val="-10"/>
      <w:kern w:val="28"/>
      <w:sz w:val="56"/>
      <w:szCs w:val="56"/>
      <w:lang w:val="uk-UA"/>
    </w:rPr>
  </w:style>
  <w:style w:type="paragraph" w:styleId="af8">
    <w:name w:val="Subtitle"/>
    <w:basedOn w:val="a"/>
    <w:next w:val="a"/>
    <w:link w:val="af7"/>
    <w:uiPriority w:val="11"/>
    <w:qFormat/>
    <w:rsid w:val="00D10481"/>
    <w:pPr>
      <w:suppressAutoHyphens/>
      <w:spacing w:before="200" w:after="200"/>
    </w:pPr>
    <w:rPr>
      <w:sz w:val="24"/>
      <w:szCs w:val="24"/>
      <w:lang w:val="ru-RU"/>
    </w:rPr>
  </w:style>
  <w:style w:type="character" w:customStyle="1" w:styleId="18">
    <w:name w:val="Підзаголовок Знак1"/>
    <w:basedOn w:val="a0"/>
    <w:uiPriority w:val="11"/>
    <w:rsid w:val="00D10481"/>
    <w:rPr>
      <w:rFonts w:eastAsiaTheme="minorEastAsia"/>
      <w:color w:val="5A5A5A" w:themeColor="text1" w:themeTint="A5"/>
      <w:spacing w:val="15"/>
      <w:lang w:val="uk-UA"/>
    </w:rPr>
  </w:style>
  <w:style w:type="paragraph" w:styleId="afa">
    <w:name w:val="Quote"/>
    <w:basedOn w:val="a"/>
    <w:next w:val="a"/>
    <w:link w:val="af9"/>
    <w:uiPriority w:val="29"/>
    <w:qFormat/>
    <w:rsid w:val="00D10481"/>
    <w:pPr>
      <w:suppressAutoHyphens/>
      <w:ind w:left="720" w:right="720"/>
    </w:pPr>
    <w:rPr>
      <w:i/>
      <w:lang w:val="ru-RU"/>
    </w:rPr>
  </w:style>
  <w:style w:type="character" w:customStyle="1" w:styleId="19">
    <w:name w:val="Цитата Знак1"/>
    <w:basedOn w:val="a0"/>
    <w:uiPriority w:val="29"/>
    <w:rsid w:val="00D10481"/>
    <w:rPr>
      <w:i/>
      <w:iCs/>
      <w:color w:val="404040" w:themeColor="text1" w:themeTint="BF"/>
      <w:lang w:val="uk-UA"/>
    </w:rPr>
  </w:style>
  <w:style w:type="paragraph" w:styleId="afc">
    <w:name w:val="Intense Quote"/>
    <w:basedOn w:val="a"/>
    <w:next w:val="a"/>
    <w:link w:val="afb"/>
    <w:uiPriority w:val="30"/>
    <w:qFormat/>
    <w:rsid w:val="00D10481"/>
    <w:pPr>
      <w:pBdr>
        <w:top w:val="single" w:sz="4" w:space="5" w:color="FFFFFF"/>
        <w:left w:val="single" w:sz="4" w:space="10" w:color="FFFFFF"/>
        <w:bottom w:val="single" w:sz="4" w:space="5" w:color="FFFFFF"/>
        <w:right w:val="single" w:sz="4" w:space="10" w:color="FFFFFF"/>
      </w:pBdr>
      <w:shd w:val="clear" w:color="auto" w:fill="F2F2F2"/>
      <w:suppressAutoHyphens/>
      <w:ind w:left="720" w:right="720"/>
    </w:pPr>
    <w:rPr>
      <w:i/>
      <w:lang w:val="ru-RU"/>
    </w:rPr>
  </w:style>
  <w:style w:type="character" w:customStyle="1" w:styleId="1a">
    <w:name w:val="Насичена цитата Знак1"/>
    <w:basedOn w:val="a0"/>
    <w:uiPriority w:val="30"/>
    <w:rsid w:val="00D10481"/>
    <w:rPr>
      <w:i/>
      <w:iCs/>
      <w:color w:val="5B9BD5" w:themeColor="accent1"/>
      <w:lang w:val="uk-UA"/>
    </w:rPr>
  </w:style>
  <w:style w:type="paragraph" w:customStyle="1" w:styleId="affd">
    <w:name w:val="Верхній і нижній колонтитули"/>
    <w:basedOn w:val="a"/>
    <w:qFormat/>
    <w:rsid w:val="00D10481"/>
    <w:pPr>
      <w:suppressAutoHyphens/>
    </w:pPr>
  </w:style>
  <w:style w:type="paragraph" w:styleId="afe">
    <w:name w:val="header"/>
    <w:basedOn w:val="a"/>
    <w:link w:val="afd"/>
    <w:uiPriority w:val="99"/>
    <w:unhideWhenUsed/>
    <w:rsid w:val="00D10481"/>
    <w:pPr>
      <w:tabs>
        <w:tab w:val="center" w:pos="7143"/>
        <w:tab w:val="right" w:pos="14287"/>
      </w:tabs>
      <w:suppressAutoHyphens/>
      <w:spacing w:after="0" w:line="240" w:lineRule="auto"/>
    </w:pPr>
    <w:rPr>
      <w:lang w:val="ru-RU"/>
    </w:rPr>
  </w:style>
  <w:style w:type="character" w:customStyle="1" w:styleId="1b">
    <w:name w:val="Верхній колонтитул Знак1"/>
    <w:basedOn w:val="a0"/>
    <w:uiPriority w:val="99"/>
    <w:semiHidden/>
    <w:rsid w:val="00D10481"/>
    <w:rPr>
      <w:lang w:val="uk-UA"/>
    </w:rPr>
  </w:style>
  <w:style w:type="paragraph" w:customStyle="1" w:styleId="caption1">
    <w:name w:val="caption1"/>
    <w:basedOn w:val="a"/>
    <w:next w:val="a"/>
    <w:uiPriority w:val="35"/>
    <w:semiHidden/>
    <w:unhideWhenUsed/>
    <w:qFormat/>
    <w:rsid w:val="00D10481"/>
    <w:pPr>
      <w:suppressAutoHyphens/>
      <w:spacing w:line="276" w:lineRule="auto"/>
    </w:pPr>
    <w:rPr>
      <w:b/>
      <w:bCs/>
      <w:color w:val="5B9BD5" w:themeColor="accent1"/>
      <w:sz w:val="18"/>
      <w:szCs w:val="18"/>
    </w:rPr>
  </w:style>
  <w:style w:type="paragraph" w:styleId="aff0">
    <w:name w:val="footnote text"/>
    <w:basedOn w:val="a"/>
    <w:link w:val="aff"/>
    <w:uiPriority w:val="99"/>
    <w:semiHidden/>
    <w:unhideWhenUsed/>
    <w:rsid w:val="00D10481"/>
    <w:pPr>
      <w:suppressAutoHyphens/>
      <w:spacing w:after="40" w:line="240" w:lineRule="auto"/>
    </w:pPr>
    <w:rPr>
      <w:sz w:val="18"/>
      <w:lang w:val="ru-RU"/>
    </w:rPr>
  </w:style>
  <w:style w:type="character" w:customStyle="1" w:styleId="1c">
    <w:name w:val="Текст виноски Знак1"/>
    <w:basedOn w:val="a0"/>
    <w:uiPriority w:val="99"/>
    <w:semiHidden/>
    <w:rsid w:val="00D10481"/>
    <w:rPr>
      <w:sz w:val="20"/>
      <w:szCs w:val="20"/>
      <w:lang w:val="uk-UA"/>
    </w:rPr>
  </w:style>
  <w:style w:type="paragraph" w:styleId="aff4">
    <w:name w:val="endnote text"/>
    <w:basedOn w:val="a"/>
    <w:link w:val="aff3"/>
    <w:uiPriority w:val="99"/>
    <w:semiHidden/>
    <w:unhideWhenUsed/>
    <w:rsid w:val="00D10481"/>
    <w:pPr>
      <w:suppressAutoHyphens/>
      <w:spacing w:after="0" w:line="240" w:lineRule="auto"/>
    </w:pPr>
    <w:rPr>
      <w:sz w:val="20"/>
      <w:lang w:val="ru-RU"/>
    </w:rPr>
  </w:style>
  <w:style w:type="character" w:customStyle="1" w:styleId="1d">
    <w:name w:val="Текст кінцевої виноски Знак1"/>
    <w:basedOn w:val="a0"/>
    <w:uiPriority w:val="99"/>
    <w:semiHidden/>
    <w:rsid w:val="00D10481"/>
    <w:rPr>
      <w:sz w:val="20"/>
      <w:szCs w:val="20"/>
      <w:lang w:val="uk-UA"/>
    </w:rPr>
  </w:style>
  <w:style w:type="paragraph" w:styleId="1e">
    <w:name w:val="toc 1"/>
    <w:basedOn w:val="a"/>
    <w:next w:val="a"/>
    <w:uiPriority w:val="39"/>
    <w:unhideWhenUsed/>
    <w:rsid w:val="00D10481"/>
    <w:pPr>
      <w:suppressAutoHyphens/>
      <w:spacing w:after="57"/>
    </w:pPr>
  </w:style>
  <w:style w:type="paragraph" w:styleId="26">
    <w:name w:val="toc 2"/>
    <w:basedOn w:val="a"/>
    <w:next w:val="a"/>
    <w:uiPriority w:val="39"/>
    <w:unhideWhenUsed/>
    <w:rsid w:val="00D10481"/>
    <w:pPr>
      <w:suppressAutoHyphens/>
      <w:spacing w:after="57"/>
      <w:ind w:left="283"/>
    </w:pPr>
  </w:style>
  <w:style w:type="paragraph" w:styleId="31">
    <w:name w:val="toc 3"/>
    <w:basedOn w:val="a"/>
    <w:next w:val="a"/>
    <w:uiPriority w:val="39"/>
    <w:unhideWhenUsed/>
    <w:rsid w:val="00D10481"/>
    <w:pPr>
      <w:suppressAutoHyphens/>
      <w:spacing w:after="57"/>
      <w:ind w:left="567"/>
    </w:pPr>
  </w:style>
  <w:style w:type="paragraph" w:styleId="43">
    <w:name w:val="toc 4"/>
    <w:basedOn w:val="a"/>
    <w:next w:val="a"/>
    <w:uiPriority w:val="39"/>
    <w:unhideWhenUsed/>
    <w:rsid w:val="00D10481"/>
    <w:pPr>
      <w:suppressAutoHyphens/>
      <w:spacing w:after="57"/>
      <w:ind w:left="850"/>
    </w:pPr>
  </w:style>
  <w:style w:type="paragraph" w:styleId="52">
    <w:name w:val="toc 5"/>
    <w:basedOn w:val="a"/>
    <w:next w:val="a"/>
    <w:uiPriority w:val="39"/>
    <w:unhideWhenUsed/>
    <w:rsid w:val="00D10481"/>
    <w:pPr>
      <w:suppressAutoHyphens/>
      <w:spacing w:after="57"/>
      <w:ind w:left="1134"/>
    </w:pPr>
  </w:style>
  <w:style w:type="paragraph" w:styleId="62">
    <w:name w:val="toc 6"/>
    <w:basedOn w:val="a"/>
    <w:next w:val="a"/>
    <w:uiPriority w:val="39"/>
    <w:unhideWhenUsed/>
    <w:rsid w:val="00D10481"/>
    <w:pPr>
      <w:suppressAutoHyphens/>
      <w:spacing w:after="57"/>
      <w:ind w:left="1417"/>
    </w:pPr>
  </w:style>
  <w:style w:type="paragraph" w:styleId="73">
    <w:name w:val="toc 7"/>
    <w:basedOn w:val="a"/>
    <w:next w:val="a"/>
    <w:uiPriority w:val="39"/>
    <w:unhideWhenUsed/>
    <w:rsid w:val="00D10481"/>
    <w:pPr>
      <w:suppressAutoHyphens/>
      <w:spacing w:after="57"/>
      <w:ind w:left="1701"/>
    </w:pPr>
  </w:style>
  <w:style w:type="paragraph" w:styleId="82">
    <w:name w:val="toc 8"/>
    <w:basedOn w:val="a"/>
    <w:next w:val="a"/>
    <w:uiPriority w:val="39"/>
    <w:unhideWhenUsed/>
    <w:rsid w:val="00D10481"/>
    <w:pPr>
      <w:suppressAutoHyphens/>
      <w:spacing w:after="57"/>
      <w:ind w:left="1984"/>
    </w:pPr>
  </w:style>
  <w:style w:type="paragraph" w:styleId="91">
    <w:name w:val="toc 9"/>
    <w:basedOn w:val="a"/>
    <w:next w:val="a"/>
    <w:uiPriority w:val="39"/>
    <w:unhideWhenUsed/>
    <w:rsid w:val="00D10481"/>
    <w:pPr>
      <w:suppressAutoHyphens/>
      <w:spacing w:after="57"/>
      <w:ind w:left="2268"/>
    </w:pPr>
  </w:style>
  <w:style w:type="paragraph" w:styleId="1f">
    <w:name w:val="index 1"/>
    <w:basedOn w:val="a"/>
    <w:next w:val="a"/>
    <w:autoRedefine/>
    <w:uiPriority w:val="99"/>
    <w:semiHidden/>
    <w:unhideWhenUsed/>
    <w:rsid w:val="00D10481"/>
    <w:pPr>
      <w:spacing w:after="0" w:line="240" w:lineRule="auto"/>
      <w:ind w:left="220" w:hanging="220"/>
    </w:pPr>
  </w:style>
  <w:style w:type="paragraph" w:styleId="affe">
    <w:name w:val="index heading"/>
    <w:basedOn w:val="aff7"/>
    <w:rsid w:val="00D10481"/>
  </w:style>
  <w:style w:type="paragraph" w:styleId="afff">
    <w:name w:val="TOC Heading"/>
    <w:uiPriority w:val="39"/>
    <w:unhideWhenUsed/>
    <w:qFormat/>
    <w:rsid w:val="00D10481"/>
    <w:pPr>
      <w:suppressAutoHyphens/>
    </w:pPr>
    <w:rPr>
      <w:lang w:val="uk-UA"/>
    </w:rPr>
  </w:style>
  <w:style w:type="paragraph" w:styleId="afff0">
    <w:name w:val="table of figures"/>
    <w:basedOn w:val="a"/>
    <w:next w:val="a"/>
    <w:uiPriority w:val="99"/>
    <w:unhideWhenUsed/>
    <w:qFormat/>
    <w:rsid w:val="00D10481"/>
    <w:pPr>
      <w:suppressAutoHyphens/>
      <w:spacing w:after="0"/>
    </w:pPr>
  </w:style>
  <w:style w:type="paragraph" w:customStyle="1" w:styleId="TableParagraph">
    <w:name w:val="Table Paragraph"/>
    <w:basedOn w:val="a"/>
    <w:uiPriority w:val="1"/>
    <w:qFormat/>
    <w:rsid w:val="00D10481"/>
    <w:pPr>
      <w:widowControl w:val="0"/>
      <w:suppressAutoHyphens/>
      <w:spacing w:after="0" w:line="240" w:lineRule="auto"/>
    </w:pPr>
    <w:rPr>
      <w:rFonts w:ascii="Times New Roman" w:eastAsia="Times New Roman" w:hAnsi="Times New Roman" w:cs="Times New Roman"/>
    </w:rPr>
  </w:style>
  <w:style w:type="table" w:customStyle="1" w:styleId="TableGridLight">
    <w:name w:val="Table Grid Light"/>
    <w:basedOn w:val="a1"/>
    <w:uiPriority w:val="59"/>
    <w:rsid w:val="00D10481"/>
    <w:pPr>
      <w:suppressAutoHyphens/>
      <w:spacing w:after="0" w:line="240" w:lineRule="auto"/>
    </w:pPr>
    <w:rPr>
      <w:lang w:val="uk-UA"/>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0">
    <w:name w:val="Plain Table 1"/>
    <w:basedOn w:val="a1"/>
    <w:uiPriority w:val="59"/>
    <w:rsid w:val="00D10481"/>
    <w:pPr>
      <w:suppressAutoHyphens/>
      <w:spacing w:after="0" w:line="240" w:lineRule="auto"/>
    </w:pPr>
    <w:rPr>
      <w:lang w:val="uk-UA"/>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27">
    <w:name w:val="Plain Table 2"/>
    <w:basedOn w:val="a1"/>
    <w:uiPriority w:val="59"/>
    <w:rsid w:val="00D10481"/>
    <w:pPr>
      <w:suppressAutoHyphens/>
      <w:spacing w:after="0" w:line="240" w:lineRule="auto"/>
    </w:pPr>
    <w:rPr>
      <w:lang w:val="uk-U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rsid w:val="00D10481"/>
    <w:pPr>
      <w:suppressAutoHyphens/>
      <w:spacing w:after="0" w:line="240" w:lineRule="auto"/>
    </w:pPr>
    <w:rPr>
      <w:lang w:val="uk-UA"/>
    </w:rPr>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44">
    <w:name w:val="Plain Table 4"/>
    <w:basedOn w:val="a1"/>
    <w:uiPriority w:val="99"/>
    <w:rsid w:val="00D10481"/>
    <w:pPr>
      <w:suppressAutoHyphens/>
      <w:spacing w:after="0" w:line="240" w:lineRule="auto"/>
    </w:pPr>
    <w:rPr>
      <w:lang w:val="uk-UA"/>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53">
    <w:name w:val="Plain Table 5"/>
    <w:basedOn w:val="a1"/>
    <w:uiPriority w:val="99"/>
    <w:rsid w:val="00D10481"/>
    <w:pPr>
      <w:suppressAutoHyphens/>
      <w:spacing w:after="0" w:line="240" w:lineRule="auto"/>
    </w:pPr>
    <w:rPr>
      <w:lang w:val="uk-UA"/>
    </w:rPr>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1">
    <w:name w:val="Grid Table 1 Light"/>
    <w:basedOn w:val="a1"/>
    <w:uiPriority w:val="99"/>
    <w:rsid w:val="00D10481"/>
    <w:pPr>
      <w:suppressAutoHyphens/>
      <w:spacing w:after="0" w:line="240" w:lineRule="auto"/>
    </w:pPr>
    <w:rPr>
      <w:lang w:val="uk-UA"/>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rsid w:val="00D10481"/>
    <w:pPr>
      <w:suppressAutoHyphens/>
      <w:spacing w:after="0" w:line="240" w:lineRule="auto"/>
    </w:pPr>
    <w:rPr>
      <w:lang w:val="uk-UA"/>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rPr>
      <w:tblPr/>
      <w:tcPr>
        <w:tcBorders>
          <w:bottom w:val="single" w:sz="12" w:space="0" w:color="5B9BD5"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basedOn w:val="a1"/>
    <w:uiPriority w:val="99"/>
    <w:rsid w:val="00D10481"/>
    <w:pPr>
      <w:suppressAutoHyphens/>
      <w:spacing w:after="0" w:line="240" w:lineRule="auto"/>
    </w:pPr>
    <w:rPr>
      <w:lang w:val="uk-U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a1"/>
    <w:uiPriority w:val="99"/>
    <w:rsid w:val="00D10481"/>
    <w:pPr>
      <w:suppressAutoHyphens/>
      <w:spacing w:after="0" w:line="240" w:lineRule="auto"/>
    </w:pPr>
    <w:rPr>
      <w:lang w:val="uk-U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a1"/>
    <w:uiPriority w:val="99"/>
    <w:rsid w:val="00D10481"/>
    <w:pPr>
      <w:suppressAutoHyphens/>
      <w:spacing w:after="0" w:line="240" w:lineRule="auto"/>
    </w:pPr>
    <w:rPr>
      <w:lang w:val="uk-U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a1"/>
    <w:uiPriority w:val="99"/>
    <w:rsid w:val="00D10481"/>
    <w:pPr>
      <w:suppressAutoHyphens/>
      <w:spacing w:after="0" w:line="240" w:lineRule="auto"/>
    </w:pPr>
    <w:rPr>
      <w:lang w:val="uk-UA"/>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rPr>
      <w:tblPr/>
      <w:tcPr>
        <w:tcBorders>
          <w:bottom w:val="single" w:sz="12" w:space="0" w:color="4472C4"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basedOn w:val="a1"/>
    <w:uiPriority w:val="99"/>
    <w:rsid w:val="00D10481"/>
    <w:pPr>
      <w:suppressAutoHyphens/>
      <w:spacing w:after="0" w:line="240" w:lineRule="auto"/>
    </w:pPr>
    <w:rPr>
      <w:lang w:val="uk-U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2">
    <w:name w:val="Grid Table 2"/>
    <w:basedOn w:val="a1"/>
    <w:uiPriority w:val="99"/>
    <w:rsid w:val="00D10481"/>
    <w:pPr>
      <w:suppressAutoHyphens/>
      <w:spacing w:after="0" w:line="240" w:lineRule="auto"/>
    </w:pPr>
    <w:rPr>
      <w:lang w:val="uk-U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a1"/>
    <w:uiPriority w:val="99"/>
    <w:rsid w:val="00D10481"/>
    <w:pPr>
      <w:suppressAutoHyphens/>
      <w:spacing w:after="0" w:line="240" w:lineRule="auto"/>
    </w:pPr>
    <w:rPr>
      <w:lang w:val="uk-UA"/>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DEAF6" w:themeFill="accent1" w:themeFillTint="34"/>
      </w:tcPr>
    </w:tblStylePr>
    <w:tblStylePr w:type="band1Horz">
      <w:rPr>
        <w:sz w:val="22"/>
      </w:rPr>
      <w:tblPr/>
      <w:tcPr>
        <w:shd w:val="clear" w:color="D8E2F3" w:fill="DDEAF6" w:themeFill="accent1" w:themeFillTint="34"/>
      </w:tcPr>
    </w:tblStylePr>
  </w:style>
  <w:style w:type="table" w:customStyle="1" w:styleId="GridTable2-Accent2">
    <w:name w:val="Grid Table 2 - Accent 2"/>
    <w:basedOn w:val="a1"/>
    <w:uiPriority w:val="99"/>
    <w:rsid w:val="00D10481"/>
    <w:pPr>
      <w:suppressAutoHyphens/>
      <w:spacing w:after="0" w:line="240" w:lineRule="auto"/>
    </w:pPr>
    <w:rPr>
      <w:lang w:val="uk-U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2-Accent3">
    <w:name w:val="Grid Table 2 - Accent 3"/>
    <w:basedOn w:val="a1"/>
    <w:uiPriority w:val="99"/>
    <w:rsid w:val="00D10481"/>
    <w:pPr>
      <w:suppressAutoHyphens/>
      <w:spacing w:after="0" w:line="240" w:lineRule="auto"/>
    </w:pPr>
    <w:rPr>
      <w:lang w:val="uk-U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2-Accent4">
    <w:name w:val="Grid Table 2 - Accent 4"/>
    <w:basedOn w:val="a1"/>
    <w:uiPriority w:val="99"/>
    <w:rsid w:val="00D10481"/>
    <w:pPr>
      <w:suppressAutoHyphens/>
      <w:spacing w:after="0" w:line="240" w:lineRule="auto"/>
    </w:pPr>
    <w:rPr>
      <w:lang w:val="uk-U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2-Accent5">
    <w:name w:val="Grid Table 2 - Accent 5"/>
    <w:basedOn w:val="a1"/>
    <w:uiPriority w:val="99"/>
    <w:rsid w:val="00D10481"/>
    <w:pPr>
      <w:suppressAutoHyphens/>
      <w:spacing w:after="0" w:line="240" w:lineRule="auto"/>
    </w:pPr>
    <w:rPr>
      <w:lang w:val="uk-UA"/>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8E2F3" w:themeFill="accent5" w:themeFillTint="34"/>
      </w:tcPr>
    </w:tblStylePr>
    <w:tblStylePr w:type="band1Horz">
      <w:rPr>
        <w:sz w:val="22"/>
      </w:rPr>
      <w:tblPr/>
      <w:tcPr>
        <w:shd w:val="clear" w:color="DDEAF6" w:fill="D8E2F3" w:themeFill="accent5" w:themeFillTint="34"/>
      </w:tcPr>
    </w:tblStylePr>
  </w:style>
  <w:style w:type="table" w:customStyle="1" w:styleId="GridTable2-Accent6">
    <w:name w:val="Grid Table 2 - Accent 6"/>
    <w:basedOn w:val="a1"/>
    <w:uiPriority w:val="99"/>
    <w:rsid w:val="00D10481"/>
    <w:pPr>
      <w:suppressAutoHyphens/>
      <w:spacing w:after="0" w:line="240" w:lineRule="auto"/>
    </w:pPr>
    <w:rPr>
      <w:lang w:val="uk-U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3">
    <w:name w:val="Grid Table 3"/>
    <w:basedOn w:val="a1"/>
    <w:uiPriority w:val="99"/>
    <w:rsid w:val="00D10481"/>
    <w:pPr>
      <w:suppressAutoHyphens/>
      <w:spacing w:after="0" w:line="240" w:lineRule="auto"/>
    </w:pPr>
    <w:rPr>
      <w:lang w:val="uk-U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a1"/>
    <w:uiPriority w:val="99"/>
    <w:rsid w:val="00D10481"/>
    <w:pPr>
      <w:suppressAutoHyphens/>
      <w:spacing w:after="0" w:line="240" w:lineRule="auto"/>
    </w:pPr>
    <w:rPr>
      <w:lang w:val="uk-UA"/>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DEAF6" w:themeFill="accent1" w:themeFillTint="34"/>
      </w:tcPr>
    </w:tblStylePr>
    <w:tblStylePr w:type="band1Horz">
      <w:rPr>
        <w:sz w:val="22"/>
      </w:rPr>
      <w:tblPr/>
      <w:tcPr>
        <w:shd w:val="clear" w:color="D8E2F3" w:fill="DDEAF6" w:themeFill="accent1" w:themeFillTint="34"/>
      </w:tcPr>
    </w:tblStylePr>
  </w:style>
  <w:style w:type="table" w:customStyle="1" w:styleId="GridTable3-Accent2">
    <w:name w:val="Grid Table 3 - Accent 2"/>
    <w:basedOn w:val="a1"/>
    <w:uiPriority w:val="99"/>
    <w:rsid w:val="00D10481"/>
    <w:pPr>
      <w:suppressAutoHyphens/>
      <w:spacing w:after="0" w:line="240" w:lineRule="auto"/>
    </w:pPr>
    <w:rPr>
      <w:lang w:val="uk-U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3-Accent3">
    <w:name w:val="Grid Table 3 - Accent 3"/>
    <w:basedOn w:val="a1"/>
    <w:uiPriority w:val="99"/>
    <w:rsid w:val="00D10481"/>
    <w:pPr>
      <w:suppressAutoHyphens/>
      <w:spacing w:after="0" w:line="240" w:lineRule="auto"/>
    </w:pPr>
    <w:rPr>
      <w:lang w:val="uk-U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3-Accent4">
    <w:name w:val="Grid Table 3 - Accent 4"/>
    <w:basedOn w:val="a1"/>
    <w:uiPriority w:val="99"/>
    <w:rsid w:val="00D10481"/>
    <w:pPr>
      <w:suppressAutoHyphens/>
      <w:spacing w:after="0" w:line="240" w:lineRule="auto"/>
    </w:pPr>
    <w:rPr>
      <w:lang w:val="uk-U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3-Accent5">
    <w:name w:val="Grid Table 3 - Accent 5"/>
    <w:basedOn w:val="a1"/>
    <w:uiPriority w:val="99"/>
    <w:rsid w:val="00D10481"/>
    <w:pPr>
      <w:suppressAutoHyphens/>
      <w:spacing w:after="0" w:line="240" w:lineRule="auto"/>
    </w:pPr>
    <w:rPr>
      <w:lang w:val="uk-UA"/>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8E2F3" w:themeFill="accent5" w:themeFillTint="34"/>
      </w:tcPr>
    </w:tblStylePr>
    <w:tblStylePr w:type="band1Horz">
      <w:rPr>
        <w:sz w:val="22"/>
      </w:rPr>
      <w:tblPr/>
      <w:tcPr>
        <w:shd w:val="clear" w:color="DDEAF6" w:fill="D8E2F3" w:themeFill="accent5" w:themeFillTint="34"/>
      </w:tcPr>
    </w:tblStylePr>
  </w:style>
  <w:style w:type="table" w:customStyle="1" w:styleId="GridTable3-Accent6">
    <w:name w:val="Grid Table 3 - Accent 6"/>
    <w:basedOn w:val="a1"/>
    <w:uiPriority w:val="99"/>
    <w:rsid w:val="00D10481"/>
    <w:pPr>
      <w:suppressAutoHyphens/>
      <w:spacing w:after="0" w:line="240" w:lineRule="auto"/>
    </w:pPr>
    <w:rPr>
      <w:lang w:val="uk-U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4">
    <w:name w:val="Grid Table 4"/>
    <w:basedOn w:val="a1"/>
    <w:uiPriority w:val="59"/>
    <w:rsid w:val="00D10481"/>
    <w:pPr>
      <w:suppressAutoHyphens/>
      <w:spacing w:after="0" w:line="240" w:lineRule="auto"/>
    </w:pPr>
    <w:rPr>
      <w:lang w:val="uk-U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a1"/>
    <w:uiPriority w:val="59"/>
    <w:rsid w:val="00D10481"/>
    <w:pPr>
      <w:suppressAutoHyphens/>
      <w:spacing w:after="0" w:line="240" w:lineRule="auto"/>
    </w:pPr>
    <w:rPr>
      <w:lang w:val="uk-UA"/>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b/>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537DC8" w:fill="68A2D8" w:themeFill="accent1" w:themeFillTint="EA"/>
      </w:tcPr>
    </w:tblStylePr>
    <w:tblStylePr w:type="lastRow">
      <w:rPr>
        <w:b/>
      </w:rPr>
      <w:tblPr/>
      <w:tcPr>
        <w:tcBorders>
          <w:top w:val="single" w:sz="4" w:space="0" w:color="5B9BD5" w:themeColor="accent1"/>
        </w:tcBorders>
      </w:tcPr>
    </w:tblStylePr>
    <w:tblStylePr w:type="firstCol">
      <w:rPr>
        <w:b/>
      </w:rPr>
    </w:tblStylePr>
    <w:tblStylePr w:type="lastCol">
      <w:rPr>
        <w:b/>
      </w:rPr>
    </w:tblStylePr>
    <w:tblStylePr w:type="band1Vert">
      <w:rPr>
        <w:sz w:val="22"/>
      </w:rPr>
      <w:tblPr/>
      <w:tcPr>
        <w:shd w:val="clear" w:color="DAE3F3" w:fill="DEEBF6" w:themeFill="accent1" w:themeFillTint="32"/>
      </w:tcPr>
    </w:tblStylePr>
    <w:tblStylePr w:type="band1Horz">
      <w:rPr>
        <w:sz w:val="22"/>
      </w:rPr>
      <w:tblPr/>
      <w:tcPr>
        <w:shd w:val="clear" w:color="DAE3F3" w:fill="DEEBF6" w:themeFill="accent1" w:themeFillTint="32"/>
      </w:tcPr>
    </w:tblStylePr>
  </w:style>
  <w:style w:type="table" w:customStyle="1" w:styleId="GridTable4-Accent2">
    <w:name w:val="Grid Table 4 - Accent 2"/>
    <w:basedOn w:val="a1"/>
    <w:uiPriority w:val="59"/>
    <w:rsid w:val="00D10481"/>
    <w:pPr>
      <w:suppressAutoHyphens/>
      <w:spacing w:after="0" w:line="240" w:lineRule="auto"/>
    </w:pPr>
    <w:rPr>
      <w:lang w:val="uk-U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4-Accent3">
    <w:name w:val="Grid Table 4 - Accent 3"/>
    <w:basedOn w:val="a1"/>
    <w:uiPriority w:val="59"/>
    <w:rsid w:val="00D10481"/>
    <w:pPr>
      <w:suppressAutoHyphens/>
      <w:spacing w:after="0" w:line="240" w:lineRule="auto"/>
    </w:pPr>
    <w:rPr>
      <w:lang w:val="uk-U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4-Accent4">
    <w:name w:val="Grid Table 4 - Accent 4"/>
    <w:basedOn w:val="a1"/>
    <w:uiPriority w:val="59"/>
    <w:rsid w:val="00D10481"/>
    <w:pPr>
      <w:suppressAutoHyphens/>
      <w:spacing w:after="0" w:line="240" w:lineRule="auto"/>
    </w:pPr>
    <w:rPr>
      <w:lang w:val="uk-U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4-Accent5">
    <w:name w:val="Grid Table 4 - Accent 5"/>
    <w:basedOn w:val="a1"/>
    <w:uiPriority w:val="59"/>
    <w:rsid w:val="00D10481"/>
    <w:pPr>
      <w:suppressAutoHyphens/>
      <w:spacing w:after="0" w:line="240" w:lineRule="auto"/>
    </w:pPr>
    <w:rPr>
      <w:lang w:val="uk-UA"/>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5B9BD5" w:fill="4472C4" w:themeFill="accent5"/>
      </w:tcPr>
    </w:tblStylePr>
    <w:tblStylePr w:type="lastRow">
      <w:rPr>
        <w:b/>
      </w:rPr>
      <w:tblPr/>
      <w:tcPr>
        <w:tcBorders>
          <w:top w:val="single" w:sz="4" w:space="0" w:color="4472C4" w:themeColor="accent5"/>
        </w:tcBorders>
      </w:tcPr>
    </w:tblStylePr>
    <w:tblStylePr w:type="firstCol">
      <w:rPr>
        <w:b/>
      </w:rPr>
    </w:tblStylePr>
    <w:tblStylePr w:type="lastCol">
      <w:rPr>
        <w:b/>
      </w:rPr>
    </w:tblStylePr>
    <w:tblStylePr w:type="band1Vert">
      <w:rPr>
        <w:sz w:val="22"/>
      </w:rPr>
      <w:tblPr/>
      <w:tcPr>
        <w:shd w:val="clear" w:color="DDEAF6" w:fill="D8E2F3" w:themeFill="accent5" w:themeFillTint="34"/>
      </w:tcPr>
    </w:tblStylePr>
    <w:tblStylePr w:type="band1Horz">
      <w:rPr>
        <w:sz w:val="22"/>
      </w:rPr>
      <w:tblPr/>
      <w:tcPr>
        <w:shd w:val="clear" w:color="DDEAF6" w:fill="D8E2F3" w:themeFill="accent5" w:themeFillTint="34"/>
      </w:tcPr>
    </w:tblStylePr>
  </w:style>
  <w:style w:type="table" w:customStyle="1" w:styleId="GridTable4-Accent6">
    <w:name w:val="Grid Table 4 - Accent 6"/>
    <w:basedOn w:val="a1"/>
    <w:uiPriority w:val="59"/>
    <w:rsid w:val="00D10481"/>
    <w:pPr>
      <w:suppressAutoHyphens/>
      <w:spacing w:after="0" w:line="240" w:lineRule="auto"/>
    </w:pPr>
    <w:rPr>
      <w:lang w:val="uk-U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5">
    <w:name w:val="Grid Table 5 Dark"/>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5B9BD5" w:themeFill="accent1"/>
      </w:tcPr>
    </w:tblStylePr>
    <w:tblStylePr w:type="lastRow">
      <w:rPr>
        <w:b/>
        <w:sz w:val="22"/>
      </w:rPr>
      <w:tblPr/>
      <w:tcPr>
        <w:tcBorders>
          <w:top w:val="single" w:sz="4" w:space="0" w:color="FFFFFF" w:themeColor="light1"/>
        </w:tcBorders>
        <w:shd w:val="clear" w:color="4472C4" w:fill="5B9BD5" w:themeFill="accent1"/>
      </w:tcPr>
    </w:tblStylePr>
    <w:tblStylePr w:type="firstCol">
      <w:rPr>
        <w:b/>
        <w:sz w:val="22"/>
      </w:rPr>
      <w:tblPr/>
      <w:tcPr>
        <w:shd w:val="clear" w:color="4472C4" w:fill="5B9BD5" w:themeFill="accent1"/>
      </w:tcPr>
    </w:tblStylePr>
    <w:tblStylePr w:type="lastCol">
      <w:rPr>
        <w:b/>
        <w:sz w:val="22"/>
      </w:rPr>
      <w:tblPr/>
      <w:tcPr>
        <w:shd w:val="clear" w:color="4472C4" w:fill="5B9BD5" w:themeFill="accent1"/>
      </w:tcPr>
    </w:tblStylePr>
    <w:tblStylePr w:type="band1Vert">
      <w:tblPr/>
      <w:tcPr>
        <w:shd w:val="clear" w:color="A9BEE4" w:fill="B3D0EB" w:themeFill="accent1" w:themeFillTint="75"/>
      </w:tcPr>
    </w:tblStylePr>
    <w:tblStylePr w:type="band1Horz">
      <w:tblPr/>
      <w:tcPr>
        <w:shd w:val="clear" w:color="A9BEE4" w:fill="B3D0EB" w:themeFill="accent1" w:themeFillTint="75"/>
      </w:tcPr>
    </w:tblStylePr>
  </w:style>
  <w:style w:type="table" w:customStyle="1" w:styleId="GridTable5Dark-Accent2">
    <w:name w:val="Grid Table 5 Dark - Accent 2"/>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ED7D31" w:themeFill="accent2"/>
      </w:tcPr>
    </w:tblStylePr>
    <w:tblStylePr w:type="lastRow">
      <w:rPr>
        <w:b/>
        <w:sz w:val="22"/>
      </w:rPr>
      <w:tblPr/>
      <w:tcPr>
        <w:tcBorders>
          <w:top w:val="single" w:sz="4" w:space="0" w:color="FFFFFF" w:themeColor="light1"/>
        </w:tcBorders>
        <w:shd w:val="clear" w:color="ED7D31" w:fill="ED7D31" w:themeFill="accent2"/>
      </w:tcPr>
    </w:tblStylePr>
    <w:tblStylePr w:type="firstCol">
      <w:rPr>
        <w:b/>
        <w:sz w:val="22"/>
      </w:rPr>
      <w:tblPr/>
      <w:tcPr>
        <w:shd w:val="clear" w:color="ED7D31" w:fill="ED7D31" w:themeFill="accent2"/>
      </w:tcPr>
    </w:tblStylePr>
    <w:tblStylePr w:type="lastCol">
      <w:rPr>
        <w:b/>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A5A5A5" w:themeFill="accent3"/>
      </w:tcPr>
    </w:tblStylePr>
    <w:tblStylePr w:type="lastRow">
      <w:rPr>
        <w:b/>
        <w:sz w:val="22"/>
      </w:rPr>
      <w:tblPr/>
      <w:tcPr>
        <w:tcBorders>
          <w:top w:val="single" w:sz="4" w:space="0" w:color="FFFFFF" w:themeColor="light1"/>
        </w:tcBorders>
        <w:shd w:val="clear" w:color="A5A5A5" w:fill="A5A5A5" w:themeFill="accent3"/>
      </w:tcPr>
    </w:tblStylePr>
    <w:tblStylePr w:type="firstCol">
      <w:rPr>
        <w:b/>
        <w:sz w:val="22"/>
      </w:rPr>
      <w:tblPr/>
      <w:tcPr>
        <w:shd w:val="clear" w:color="A5A5A5" w:fill="A5A5A5" w:themeFill="accent3"/>
      </w:tcPr>
    </w:tblStylePr>
    <w:tblStylePr w:type="lastCol">
      <w:rPr>
        <w:b/>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FFC000" w:themeFill="accent4"/>
      </w:tcPr>
    </w:tblStylePr>
    <w:tblStylePr w:type="lastRow">
      <w:rPr>
        <w:b/>
        <w:sz w:val="22"/>
      </w:rPr>
      <w:tblPr/>
      <w:tcPr>
        <w:tcBorders>
          <w:top w:val="single" w:sz="4" w:space="0" w:color="FFFFFF" w:themeColor="light1"/>
        </w:tcBorders>
        <w:shd w:val="clear" w:color="FFC000" w:fill="FFC000" w:themeFill="accent4"/>
      </w:tcPr>
    </w:tblStylePr>
    <w:tblStylePr w:type="firstCol">
      <w:rPr>
        <w:b/>
        <w:sz w:val="22"/>
      </w:rPr>
      <w:tblPr/>
      <w:tcPr>
        <w:shd w:val="clear" w:color="FFC000" w:fill="FFC000" w:themeFill="accent4"/>
      </w:tcPr>
    </w:tblStylePr>
    <w:tblStylePr w:type="lastCol">
      <w:rPr>
        <w:b/>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4472C4" w:themeFill="accent5"/>
      </w:tcPr>
    </w:tblStylePr>
    <w:tblStylePr w:type="lastRow">
      <w:rPr>
        <w:b/>
        <w:sz w:val="22"/>
      </w:rPr>
      <w:tblPr/>
      <w:tcPr>
        <w:tcBorders>
          <w:top w:val="single" w:sz="4" w:space="0" w:color="FFFFFF" w:themeColor="light1"/>
        </w:tcBorders>
        <w:shd w:val="clear" w:color="5B9BD5" w:fill="4472C4" w:themeFill="accent5"/>
      </w:tcPr>
    </w:tblStylePr>
    <w:tblStylePr w:type="firstCol">
      <w:rPr>
        <w:b/>
        <w:sz w:val="22"/>
      </w:rPr>
      <w:tblPr/>
      <w:tcPr>
        <w:shd w:val="clear" w:color="5B9BD5" w:fill="4472C4" w:themeFill="accent5"/>
      </w:tcPr>
    </w:tblStylePr>
    <w:tblStylePr w:type="lastCol">
      <w:rPr>
        <w:b/>
        <w:sz w:val="22"/>
      </w:rPr>
      <w:tblPr/>
      <w:tcPr>
        <w:shd w:val="clear" w:color="5B9BD5" w:fill="4472C4" w:themeFill="accent5"/>
      </w:tcPr>
    </w:tblStylePr>
    <w:tblStylePr w:type="band1Vert">
      <w:tblPr/>
      <w:tcPr>
        <w:shd w:val="clear" w:color="B3D0EB" w:fill="A9BEE4" w:themeFill="accent5" w:themeFillTint="75"/>
      </w:tcPr>
    </w:tblStylePr>
    <w:tblStylePr w:type="band1Horz">
      <w:tblPr/>
      <w:tcPr>
        <w:shd w:val="clear" w:color="B3D0EB" w:fill="A9BEE4" w:themeFill="accent5" w:themeFillTint="75"/>
      </w:tcPr>
    </w:tblStylePr>
  </w:style>
  <w:style w:type="table" w:customStyle="1" w:styleId="GridTable5Dark-Accent6">
    <w:name w:val="Grid Table 5 Dark - Accent 6"/>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70AD47" w:themeFill="accent6"/>
      </w:tcPr>
    </w:tblStylePr>
    <w:tblStylePr w:type="lastRow">
      <w:rPr>
        <w:b/>
        <w:sz w:val="22"/>
      </w:rPr>
      <w:tblPr/>
      <w:tcPr>
        <w:tcBorders>
          <w:top w:val="single" w:sz="4" w:space="0" w:color="FFFFFF" w:themeColor="light1"/>
        </w:tcBorders>
        <w:shd w:val="clear" w:color="70AD47" w:fill="70AD47" w:themeFill="accent6"/>
      </w:tcPr>
    </w:tblStylePr>
    <w:tblStylePr w:type="firstCol">
      <w:rPr>
        <w:b/>
        <w:sz w:val="22"/>
      </w:rPr>
      <w:tblPr/>
      <w:tcPr>
        <w:shd w:val="clear" w:color="70AD47" w:fill="70AD47" w:themeFill="accent6"/>
      </w:tcPr>
    </w:tblStylePr>
    <w:tblStylePr w:type="lastCol">
      <w:rPr>
        <w:b/>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styleId="-6">
    <w:name w:val="Grid Table 6 Colorful"/>
    <w:basedOn w:val="a1"/>
    <w:uiPriority w:val="99"/>
    <w:rsid w:val="00D10481"/>
    <w:pPr>
      <w:suppressAutoHyphens/>
      <w:spacing w:after="0" w:line="240" w:lineRule="auto"/>
    </w:pPr>
    <w:rPr>
      <w:lang w:val="uk-U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rsid w:val="00D10481"/>
    <w:pPr>
      <w:suppressAutoHyphens/>
      <w:spacing w:after="0" w:line="240" w:lineRule="auto"/>
    </w:pPr>
    <w:rPr>
      <w:lang w:val="uk-UA"/>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8E2F3" w:fill="DDEAF6" w:themeFill="accent1" w:themeFillTint="34"/>
      </w:tcPr>
    </w:tblStylePr>
    <w:tblStylePr w:type="band1Horz">
      <w:rPr>
        <w:color w:val="ACCCEA" w:themeColor="accent1" w:themeTint="80" w:themeShade="95"/>
        <w:sz w:val="22"/>
      </w:rPr>
      <w:tblPr/>
      <w:tcPr>
        <w:shd w:val="clear" w:color="D8E2F3"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basedOn w:val="a1"/>
    <w:uiPriority w:val="99"/>
    <w:rsid w:val="00D10481"/>
    <w:pPr>
      <w:suppressAutoHyphens/>
      <w:spacing w:after="0" w:line="240" w:lineRule="auto"/>
    </w:pPr>
    <w:rPr>
      <w:lang w:val="uk-U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a1"/>
    <w:uiPriority w:val="99"/>
    <w:rsid w:val="00D10481"/>
    <w:pPr>
      <w:suppressAutoHyphens/>
      <w:spacing w:after="0" w:line="240" w:lineRule="auto"/>
    </w:pPr>
    <w:rPr>
      <w:lang w:val="uk-U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a1"/>
    <w:uiPriority w:val="99"/>
    <w:rsid w:val="00D10481"/>
    <w:pPr>
      <w:suppressAutoHyphens/>
      <w:spacing w:after="0" w:line="240" w:lineRule="auto"/>
    </w:pPr>
    <w:rPr>
      <w:lang w:val="uk-U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a1"/>
    <w:uiPriority w:val="99"/>
    <w:rsid w:val="00D10481"/>
    <w:pPr>
      <w:suppressAutoHyphens/>
      <w:spacing w:after="0" w:line="240" w:lineRule="auto"/>
    </w:pPr>
    <w:rPr>
      <w:lang w:val="uk-UA"/>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DEAF6" w:fill="D8E2F3" w:themeFill="accent5" w:themeFillTint="34"/>
      </w:tcPr>
    </w:tblStylePr>
    <w:tblStylePr w:type="band1Horz">
      <w:rPr>
        <w:color w:val="254175" w:themeColor="accent5" w:themeShade="95"/>
        <w:sz w:val="22"/>
      </w:rPr>
      <w:tblPr/>
      <w:tcPr>
        <w:shd w:val="clear" w:color="DDEAF6"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basedOn w:val="a1"/>
    <w:uiPriority w:val="99"/>
    <w:rsid w:val="00D10481"/>
    <w:pPr>
      <w:suppressAutoHyphens/>
      <w:spacing w:after="0" w:line="240" w:lineRule="auto"/>
    </w:pPr>
    <w:rPr>
      <w:lang w:val="uk-U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fill="E1EFD8" w:themeFill="accent6" w:themeFillTint="34"/>
      </w:tcPr>
    </w:tblStylePr>
    <w:tblStylePr w:type="band1Horz">
      <w:rPr>
        <w:color w:val="254175" w:themeColor="accent5" w:themeShade="95"/>
        <w:sz w:val="22"/>
      </w:rPr>
      <w:tblPr/>
      <w:tcPr>
        <w:shd w:val="clear" w:color="E1EFD8" w:fill="E1EFD8" w:themeFill="accent6" w:themeFillTint="34"/>
      </w:tcPr>
    </w:tblStylePr>
    <w:tblStylePr w:type="band2Horz">
      <w:rPr>
        <w:color w:val="254175" w:themeColor="accent5" w:themeShade="95"/>
        <w:sz w:val="22"/>
      </w:rPr>
    </w:tblStylePr>
  </w:style>
  <w:style w:type="table" w:styleId="-7">
    <w:name w:val="Grid Table 7 Colorful"/>
    <w:basedOn w:val="a1"/>
    <w:uiPriority w:val="99"/>
    <w:rsid w:val="00D10481"/>
    <w:pPr>
      <w:suppressAutoHyphens/>
      <w:spacing w:after="0" w:line="240" w:lineRule="auto"/>
    </w:pPr>
    <w:rPr>
      <w:lang w:val="uk-U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rsid w:val="00D10481"/>
    <w:pPr>
      <w:suppressAutoHyphens/>
      <w:spacing w:after="0" w:line="240" w:lineRule="auto"/>
    </w:pPr>
    <w:rPr>
      <w:lang w:val="uk-UA"/>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CCCEA" w:themeColor="accent1" w:themeTint="80"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8E2F3" w:fill="DDEAF6" w:themeFill="accent1" w:themeFillTint="34"/>
      </w:tcPr>
    </w:tblStylePr>
    <w:tblStylePr w:type="band1Horz">
      <w:rPr>
        <w:color w:val="ACCCEA" w:themeColor="accent1" w:themeTint="80" w:themeShade="95"/>
        <w:sz w:val="22"/>
      </w:rPr>
      <w:tblPr/>
      <w:tcPr>
        <w:shd w:val="clear" w:color="D8E2F3"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basedOn w:val="a1"/>
    <w:uiPriority w:val="99"/>
    <w:rsid w:val="00D10481"/>
    <w:pPr>
      <w:suppressAutoHyphens/>
      <w:spacing w:after="0" w:line="240" w:lineRule="auto"/>
    </w:pPr>
    <w:rPr>
      <w:lang w:val="uk-U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a1"/>
    <w:uiPriority w:val="99"/>
    <w:rsid w:val="00D10481"/>
    <w:pPr>
      <w:suppressAutoHyphens/>
      <w:spacing w:after="0" w:line="240" w:lineRule="auto"/>
    </w:pPr>
    <w:rPr>
      <w:lang w:val="uk-U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a1"/>
    <w:uiPriority w:val="99"/>
    <w:rsid w:val="00D10481"/>
    <w:pPr>
      <w:suppressAutoHyphens/>
      <w:spacing w:after="0" w:line="240" w:lineRule="auto"/>
    </w:pPr>
    <w:rPr>
      <w:lang w:val="uk-U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a1"/>
    <w:uiPriority w:val="99"/>
    <w:rsid w:val="00D10481"/>
    <w:pPr>
      <w:suppressAutoHyphens/>
      <w:spacing w:after="0" w:line="240" w:lineRule="auto"/>
    </w:pPr>
    <w:rPr>
      <w:lang w:val="uk-UA"/>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color w:val="254175" w:themeColor="accent5"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54175" w:themeColor="accent5"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254175" w:themeColor="accent5"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DDEAF6" w:fill="D8E2F3" w:themeFill="accent5" w:themeFillTint="34"/>
      </w:tcPr>
    </w:tblStylePr>
    <w:tblStylePr w:type="band1Horz">
      <w:rPr>
        <w:color w:val="254175" w:themeColor="accent5" w:themeShade="95"/>
        <w:sz w:val="22"/>
      </w:rPr>
      <w:tblPr/>
      <w:tcPr>
        <w:shd w:val="clear" w:color="DDEAF6"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basedOn w:val="a1"/>
    <w:uiPriority w:val="99"/>
    <w:rsid w:val="00D10481"/>
    <w:pPr>
      <w:suppressAutoHyphens/>
      <w:spacing w:after="0" w:line="240" w:lineRule="auto"/>
    </w:pPr>
    <w:rPr>
      <w:lang w:val="uk-U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color w:val="416429" w:themeColor="accent6"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416429" w:themeColor="accent6"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416429" w:themeColor="accent6"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styleId="-10">
    <w:name w:val="List Table 1 Light"/>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D5E5F4" w:themeFill="accent1" w:themeFillTint="40"/>
      </w:tcPr>
    </w:tblStylePr>
    <w:tblStylePr w:type="band1Horz">
      <w:tblPr/>
      <w:tcPr>
        <w:shd w:val="clear" w:color="CFDBF0" w:fill="D5E5F4" w:themeFill="accent1" w:themeFillTint="40"/>
      </w:tcPr>
    </w:tblStylePr>
  </w:style>
  <w:style w:type="table" w:customStyle="1" w:styleId="ListTable1Light-Accent2">
    <w:name w:val="List Table 1 Light - Accent 2"/>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CFDBF0" w:themeFill="accent5" w:themeFillTint="40"/>
      </w:tcPr>
    </w:tblStylePr>
    <w:tblStylePr w:type="band1Horz">
      <w:tblPr/>
      <w:tcPr>
        <w:shd w:val="clear" w:color="D5E5F4" w:fill="CFDBF0" w:themeFill="accent5" w:themeFillTint="40"/>
      </w:tcPr>
    </w:tblStylePr>
  </w:style>
  <w:style w:type="table" w:customStyle="1" w:styleId="ListTable1Light-Accent6">
    <w:name w:val="List Table 1 Light - Accent 6"/>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styleId="-20">
    <w:name w:val="List Table 2"/>
    <w:basedOn w:val="a1"/>
    <w:uiPriority w:val="99"/>
    <w:rsid w:val="00D10481"/>
    <w:pPr>
      <w:suppressAutoHyphens/>
      <w:spacing w:after="0" w:line="240" w:lineRule="auto"/>
    </w:pPr>
    <w:rPr>
      <w:lang w:val="uk-U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a1"/>
    <w:uiPriority w:val="99"/>
    <w:rsid w:val="00D10481"/>
    <w:pPr>
      <w:suppressAutoHyphens/>
      <w:spacing w:after="0" w:line="240" w:lineRule="auto"/>
    </w:pPr>
    <w:rPr>
      <w:lang w:val="uk-UA"/>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D5E5F4" w:themeFill="accent1" w:themeFillTint="40"/>
      </w:tcPr>
    </w:tblStylePr>
    <w:tblStylePr w:type="band1Horz">
      <w:rPr>
        <w:sz w:val="22"/>
      </w:rPr>
      <w:tblPr/>
      <w:tcPr>
        <w:shd w:val="clear" w:color="CFDBF0" w:fill="D5E5F4" w:themeFill="accent1" w:themeFillTint="40"/>
      </w:tcPr>
    </w:tblStylePr>
  </w:style>
  <w:style w:type="table" w:customStyle="1" w:styleId="ListTable2-Accent2">
    <w:name w:val="List Table 2 - Accent 2"/>
    <w:basedOn w:val="a1"/>
    <w:uiPriority w:val="99"/>
    <w:rsid w:val="00D10481"/>
    <w:pPr>
      <w:suppressAutoHyphens/>
      <w:spacing w:after="0" w:line="240" w:lineRule="auto"/>
    </w:pPr>
    <w:rPr>
      <w:lang w:val="uk-U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2-Accent3">
    <w:name w:val="List Table 2 - Accent 3"/>
    <w:basedOn w:val="a1"/>
    <w:uiPriority w:val="99"/>
    <w:rsid w:val="00D10481"/>
    <w:pPr>
      <w:suppressAutoHyphens/>
      <w:spacing w:after="0" w:line="240" w:lineRule="auto"/>
    </w:pPr>
    <w:rPr>
      <w:lang w:val="uk-U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2-Accent4">
    <w:name w:val="List Table 2 - Accent 4"/>
    <w:basedOn w:val="a1"/>
    <w:uiPriority w:val="99"/>
    <w:rsid w:val="00D10481"/>
    <w:pPr>
      <w:suppressAutoHyphens/>
      <w:spacing w:after="0" w:line="240" w:lineRule="auto"/>
    </w:pPr>
    <w:rPr>
      <w:lang w:val="uk-U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2-Accent5">
    <w:name w:val="List Table 2 - Accent 5"/>
    <w:basedOn w:val="a1"/>
    <w:uiPriority w:val="99"/>
    <w:rsid w:val="00D10481"/>
    <w:pPr>
      <w:suppressAutoHyphens/>
      <w:spacing w:after="0" w:line="240" w:lineRule="auto"/>
    </w:pPr>
    <w:rPr>
      <w:lang w:val="uk-UA"/>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CFDBF0" w:themeFill="accent5" w:themeFillTint="40"/>
      </w:tcPr>
    </w:tblStylePr>
    <w:tblStylePr w:type="band1Horz">
      <w:rPr>
        <w:sz w:val="22"/>
      </w:rPr>
      <w:tblPr/>
      <w:tcPr>
        <w:shd w:val="clear" w:color="D5E5F4" w:fill="CFDBF0" w:themeFill="accent5" w:themeFillTint="40"/>
      </w:tcPr>
    </w:tblStylePr>
  </w:style>
  <w:style w:type="table" w:customStyle="1" w:styleId="ListTable2-Accent6">
    <w:name w:val="List Table 2 - Accent 6"/>
    <w:basedOn w:val="a1"/>
    <w:uiPriority w:val="99"/>
    <w:rsid w:val="00D10481"/>
    <w:pPr>
      <w:suppressAutoHyphens/>
      <w:spacing w:after="0" w:line="240" w:lineRule="auto"/>
    </w:pPr>
    <w:rPr>
      <w:lang w:val="uk-U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30">
    <w:name w:val="List Table 3"/>
    <w:basedOn w:val="a1"/>
    <w:uiPriority w:val="99"/>
    <w:rsid w:val="00D10481"/>
    <w:pPr>
      <w:suppressAutoHyphens/>
      <w:spacing w:after="0" w:line="240" w:lineRule="auto"/>
    </w:pPr>
    <w:rPr>
      <w:lang w:val="uk-U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D10481"/>
    <w:pPr>
      <w:suppressAutoHyphens/>
      <w:spacing w:after="0" w:line="240" w:lineRule="auto"/>
    </w:pPr>
    <w:rPr>
      <w:lang w:val="uk-UA"/>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sz w:val="22"/>
      </w:rPr>
      <w:tblPr/>
      <w:tcPr>
        <w:shd w:val="clear" w:color="4472C4" w:fill="5B9BD5"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1"/>
          <w:right w:val="single" w:sz="4" w:space="0" w:color="5B9BD5" w:themeColor="accent1"/>
        </w:tcBorders>
      </w:tcPr>
    </w:tblStylePr>
    <w:tblStylePr w:type="band1Horz">
      <w:rPr>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D10481"/>
    <w:pPr>
      <w:suppressAutoHyphens/>
      <w:spacing w:after="0" w:line="240" w:lineRule="auto"/>
    </w:pPr>
    <w:rPr>
      <w:lang w:val="uk-U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b/>
        <w:sz w:val="22"/>
      </w:rPr>
      <w:tblPr/>
      <w:tcPr>
        <w:shd w:val="clear" w:color="F4B184"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a1"/>
    <w:uiPriority w:val="99"/>
    <w:rsid w:val="00D10481"/>
    <w:pPr>
      <w:suppressAutoHyphens/>
      <w:spacing w:after="0" w:line="240" w:lineRule="auto"/>
    </w:pPr>
    <w:rPr>
      <w:lang w:val="uk-U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b/>
        <w:sz w:val="22"/>
      </w:rPr>
      <w:tblPr/>
      <w:tcPr>
        <w:shd w:val="clear" w:color="C9C9C9"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a1"/>
    <w:uiPriority w:val="99"/>
    <w:rsid w:val="00D10481"/>
    <w:pPr>
      <w:suppressAutoHyphens/>
      <w:spacing w:after="0" w:line="240" w:lineRule="auto"/>
    </w:pPr>
    <w:rPr>
      <w:lang w:val="uk-U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b/>
        <w:sz w:val="22"/>
      </w:rPr>
      <w:tblPr/>
      <w:tcPr>
        <w:shd w:val="clear" w:color="FFD865"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a1"/>
    <w:uiPriority w:val="99"/>
    <w:rsid w:val="00D10481"/>
    <w:pPr>
      <w:suppressAutoHyphens/>
      <w:spacing w:after="0" w:line="240" w:lineRule="auto"/>
    </w:pPr>
    <w:rPr>
      <w:lang w:val="uk-UA"/>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b/>
        <w:sz w:val="22"/>
      </w:rPr>
      <w:tblPr/>
      <w:tcPr>
        <w:shd w:val="clear" w:color="9BC2E5" w:fill="8DA9DB"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5"/>
          <w:right w:val="single" w:sz="4" w:space="0" w:color="4472C4" w:themeColor="accent5"/>
        </w:tcBorders>
      </w:tcPr>
    </w:tblStylePr>
    <w:tblStylePr w:type="band1Horz">
      <w:rPr>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basedOn w:val="a1"/>
    <w:uiPriority w:val="99"/>
    <w:rsid w:val="00D10481"/>
    <w:pPr>
      <w:suppressAutoHyphens/>
      <w:spacing w:after="0" w:line="240" w:lineRule="auto"/>
    </w:pPr>
    <w:rPr>
      <w:lang w:val="uk-U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b/>
        <w:sz w:val="22"/>
      </w:rPr>
      <w:tblPr/>
      <w:tcPr>
        <w:shd w:val="clear" w:color="A9D08E"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styleId="-40">
    <w:name w:val="List Table 4"/>
    <w:basedOn w:val="a1"/>
    <w:uiPriority w:val="99"/>
    <w:rsid w:val="00D10481"/>
    <w:pPr>
      <w:suppressAutoHyphens/>
      <w:spacing w:after="0" w:line="240" w:lineRule="auto"/>
    </w:pPr>
    <w:rPr>
      <w:lang w:val="uk-U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a1"/>
    <w:uiPriority w:val="99"/>
    <w:rsid w:val="00D10481"/>
    <w:pPr>
      <w:suppressAutoHyphens/>
      <w:spacing w:after="0" w:line="240" w:lineRule="auto"/>
    </w:pPr>
    <w:rPr>
      <w:lang w:val="uk-UA"/>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b/>
        <w:sz w:val="22"/>
      </w:rPr>
      <w:tblPr/>
      <w:tcPr>
        <w:shd w:val="clear" w:color="4472C4" w:fill="5B9BD5" w:themeFill="accent1"/>
      </w:tcPr>
    </w:tblStylePr>
    <w:tblStylePr w:type="lastRow">
      <w:rPr>
        <w:b/>
      </w:rPr>
    </w:tblStylePr>
    <w:tblStylePr w:type="firstCol">
      <w:rPr>
        <w:b/>
      </w:rPr>
    </w:tblStylePr>
    <w:tblStylePr w:type="lastCol">
      <w:rPr>
        <w:b/>
      </w:rPr>
    </w:tblStylePr>
    <w:tblStylePr w:type="band1Vert">
      <w:rPr>
        <w:sz w:val="22"/>
      </w:rPr>
      <w:tblPr/>
      <w:tcPr>
        <w:shd w:val="clear" w:color="CFDBF0" w:fill="D5E5F4" w:themeFill="accent1" w:themeFillTint="40"/>
      </w:tcPr>
    </w:tblStylePr>
    <w:tblStylePr w:type="band1Horz">
      <w:rPr>
        <w:sz w:val="22"/>
      </w:rPr>
      <w:tblPr/>
      <w:tcPr>
        <w:shd w:val="clear" w:color="CFDBF0" w:fill="D5E5F4" w:themeFill="accent1" w:themeFillTint="40"/>
      </w:tcPr>
    </w:tblStylePr>
  </w:style>
  <w:style w:type="table" w:customStyle="1" w:styleId="ListTable4-Accent2">
    <w:name w:val="List Table 4 - Accent 2"/>
    <w:basedOn w:val="a1"/>
    <w:uiPriority w:val="99"/>
    <w:rsid w:val="00D10481"/>
    <w:pPr>
      <w:suppressAutoHyphens/>
      <w:spacing w:after="0" w:line="240" w:lineRule="auto"/>
    </w:pPr>
    <w:rPr>
      <w:lang w:val="uk-U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b/>
        <w:sz w:val="22"/>
      </w:rPr>
      <w:tblPr/>
      <w:tcPr>
        <w:shd w:val="clear" w:color="ED7D31"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4-Accent3">
    <w:name w:val="List Table 4 - Accent 3"/>
    <w:basedOn w:val="a1"/>
    <w:uiPriority w:val="99"/>
    <w:rsid w:val="00D10481"/>
    <w:pPr>
      <w:suppressAutoHyphens/>
      <w:spacing w:after="0" w:line="240" w:lineRule="auto"/>
    </w:pPr>
    <w:rPr>
      <w:lang w:val="uk-U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b/>
        <w:sz w:val="22"/>
      </w:rPr>
      <w:tblPr/>
      <w:tcPr>
        <w:shd w:val="clear" w:color="A5A5A5"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4-Accent4">
    <w:name w:val="List Table 4 - Accent 4"/>
    <w:basedOn w:val="a1"/>
    <w:uiPriority w:val="99"/>
    <w:rsid w:val="00D10481"/>
    <w:pPr>
      <w:suppressAutoHyphens/>
      <w:spacing w:after="0" w:line="240" w:lineRule="auto"/>
    </w:pPr>
    <w:rPr>
      <w:lang w:val="uk-U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b/>
        <w:sz w:val="22"/>
      </w:rPr>
      <w:tblPr/>
      <w:tcPr>
        <w:shd w:val="clear" w:color="FFC000"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4-Accent5">
    <w:name w:val="List Table 4 - Accent 5"/>
    <w:basedOn w:val="a1"/>
    <w:uiPriority w:val="99"/>
    <w:rsid w:val="00D10481"/>
    <w:pPr>
      <w:suppressAutoHyphens/>
      <w:spacing w:after="0" w:line="240" w:lineRule="auto"/>
    </w:pPr>
    <w:rPr>
      <w:lang w:val="uk-UA"/>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b/>
        <w:sz w:val="22"/>
      </w:rPr>
      <w:tblPr/>
      <w:tcPr>
        <w:shd w:val="clear" w:color="5B9BD5" w:fill="4472C4" w:themeFill="accent5"/>
      </w:tcPr>
    </w:tblStylePr>
    <w:tblStylePr w:type="lastRow">
      <w:rPr>
        <w:b/>
      </w:rPr>
    </w:tblStylePr>
    <w:tblStylePr w:type="firstCol">
      <w:rPr>
        <w:b/>
      </w:rPr>
    </w:tblStylePr>
    <w:tblStylePr w:type="lastCol">
      <w:rPr>
        <w:b/>
      </w:rPr>
    </w:tblStylePr>
    <w:tblStylePr w:type="band1Vert">
      <w:rPr>
        <w:sz w:val="22"/>
      </w:rPr>
      <w:tblPr/>
      <w:tcPr>
        <w:shd w:val="clear" w:color="D5E5F4" w:fill="CFDBF0" w:themeFill="accent5" w:themeFillTint="40"/>
      </w:tcPr>
    </w:tblStylePr>
    <w:tblStylePr w:type="band1Horz">
      <w:rPr>
        <w:sz w:val="22"/>
      </w:rPr>
      <w:tblPr/>
      <w:tcPr>
        <w:shd w:val="clear" w:color="D5E5F4" w:fill="CFDBF0" w:themeFill="accent5" w:themeFillTint="40"/>
      </w:tcPr>
    </w:tblStylePr>
  </w:style>
  <w:style w:type="table" w:customStyle="1" w:styleId="ListTable4-Accent6">
    <w:name w:val="List Table 4 - Accent 6"/>
    <w:basedOn w:val="a1"/>
    <w:uiPriority w:val="99"/>
    <w:rsid w:val="00D10481"/>
    <w:pPr>
      <w:suppressAutoHyphens/>
      <w:spacing w:after="0" w:line="240" w:lineRule="auto"/>
    </w:pPr>
    <w:rPr>
      <w:lang w:val="uk-U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b/>
        <w:sz w:val="22"/>
      </w:rPr>
      <w:tblPr/>
      <w:tcPr>
        <w:shd w:val="clear" w:color="70AD47"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50">
    <w:name w:val="List Table 5 Dark"/>
    <w:basedOn w:val="a1"/>
    <w:uiPriority w:val="99"/>
    <w:rsid w:val="00D10481"/>
    <w:pPr>
      <w:suppressAutoHyphens/>
      <w:spacing w:after="0" w:line="240" w:lineRule="auto"/>
    </w:pPr>
    <w:rPr>
      <w:lang w:val="uk-U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a1"/>
    <w:uiPriority w:val="99"/>
    <w:rsid w:val="00D10481"/>
    <w:pPr>
      <w:suppressAutoHyphens/>
      <w:spacing w:after="0" w:line="240" w:lineRule="auto"/>
    </w:pPr>
    <w:rPr>
      <w:lang w:val="uk-UA"/>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b/>
        <w:color w:val="FFFFFF" w:themeColor="light1"/>
        <w:sz w:val="22"/>
      </w:rPr>
      <w:tblPr/>
      <w:tcPr>
        <w:tcBorders>
          <w:top w:val="single" w:sz="32" w:space="0" w:color="5B9BD5" w:themeColor="accent1"/>
          <w:bottom w:val="single" w:sz="12" w:space="0" w:color="FFFFFF" w:themeColor="light1"/>
        </w:tcBorders>
        <w:shd w:val="clear" w:color="4472C4"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4472C4"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fill="5B9BD5" w:themeFill="accent1"/>
      </w:tcPr>
    </w:tblStylePr>
    <w:tblStylePr w:type="band2Horz">
      <w:tblPr/>
      <w:tcPr>
        <w:tcBorders>
          <w:top w:val="single" w:sz="4" w:space="0" w:color="FFFFFF" w:themeColor="light1"/>
          <w:bottom w:val="single" w:sz="4" w:space="0" w:color="FFFFFF" w:themeColor="light1"/>
        </w:tcBorders>
        <w:shd w:val="clear" w:color="4472C4" w:fill="5B9BD5" w:themeFill="accent1"/>
      </w:tcPr>
    </w:tblStylePr>
  </w:style>
  <w:style w:type="table" w:customStyle="1" w:styleId="ListTable5Dark-Accent2">
    <w:name w:val="List Table 5 Dark - Accent 2"/>
    <w:basedOn w:val="a1"/>
    <w:uiPriority w:val="99"/>
    <w:rsid w:val="00D10481"/>
    <w:pPr>
      <w:suppressAutoHyphens/>
      <w:spacing w:after="0" w:line="240" w:lineRule="auto"/>
    </w:pPr>
    <w:rPr>
      <w:lang w:val="uk-U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a1"/>
    <w:uiPriority w:val="99"/>
    <w:rsid w:val="00D10481"/>
    <w:pPr>
      <w:suppressAutoHyphens/>
      <w:spacing w:after="0" w:line="240" w:lineRule="auto"/>
    </w:pPr>
    <w:rPr>
      <w:lang w:val="uk-U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a1"/>
    <w:uiPriority w:val="99"/>
    <w:rsid w:val="00D10481"/>
    <w:pPr>
      <w:suppressAutoHyphens/>
      <w:spacing w:after="0" w:line="240" w:lineRule="auto"/>
    </w:pPr>
    <w:rPr>
      <w:lang w:val="uk-U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a1"/>
    <w:uiPriority w:val="99"/>
    <w:rsid w:val="00D10481"/>
    <w:pPr>
      <w:suppressAutoHyphens/>
      <w:spacing w:after="0" w:line="240" w:lineRule="auto"/>
    </w:pPr>
    <w:rPr>
      <w:lang w:val="uk-UA"/>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b/>
        <w:color w:val="FFFFFF" w:themeColor="light1"/>
        <w:sz w:val="22"/>
      </w:rPr>
      <w:tblPr/>
      <w:tcPr>
        <w:tcBorders>
          <w:top w:val="single" w:sz="32" w:space="0" w:color="4472C4" w:themeColor="accent5"/>
          <w:bottom w:val="single" w:sz="12" w:space="0" w:color="FFFFFF" w:themeColor="light1"/>
        </w:tcBorders>
        <w:shd w:val="clear" w:color="9BC2E5"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9BC2E5"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fill="8DA9DB" w:themeFill="accent5" w:themeFillTint="9A"/>
      </w:tcPr>
    </w:tblStylePr>
    <w:tblStylePr w:type="band2Horz">
      <w:tblPr/>
      <w:tcPr>
        <w:tcBorders>
          <w:top w:val="single" w:sz="4" w:space="0" w:color="FFFFFF" w:themeColor="light1"/>
          <w:bottom w:val="single" w:sz="4" w:space="0" w:color="FFFFFF" w:themeColor="light1"/>
        </w:tcBorders>
        <w:shd w:val="clear" w:color="9BC2E5" w:fill="8DA9DB" w:themeFill="accent5" w:themeFillTint="9A"/>
      </w:tcPr>
    </w:tblStylePr>
  </w:style>
  <w:style w:type="table" w:customStyle="1" w:styleId="ListTable5Dark-Accent6">
    <w:name w:val="List Table 5 Dark - Accent 6"/>
    <w:basedOn w:val="a1"/>
    <w:uiPriority w:val="99"/>
    <w:rsid w:val="00D10481"/>
    <w:pPr>
      <w:suppressAutoHyphens/>
      <w:spacing w:after="0" w:line="240" w:lineRule="auto"/>
    </w:pPr>
    <w:rPr>
      <w:lang w:val="uk-U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styleId="-60">
    <w:name w:val="List Table 6 Colorful"/>
    <w:basedOn w:val="a1"/>
    <w:uiPriority w:val="99"/>
    <w:rsid w:val="00D10481"/>
    <w:pPr>
      <w:suppressAutoHyphens/>
      <w:spacing w:after="0" w:line="240" w:lineRule="auto"/>
    </w:pPr>
    <w:rPr>
      <w:lang w:val="uk-U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rsid w:val="00D10481"/>
    <w:pPr>
      <w:suppressAutoHyphens/>
      <w:spacing w:after="0" w:line="240" w:lineRule="auto"/>
    </w:pPr>
    <w:rPr>
      <w:lang w:val="uk-UA"/>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CFDBF0" w:fill="D5E5F4" w:themeFill="accent1" w:themeFillTint="40"/>
      </w:tcPr>
    </w:tblStylePr>
    <w:tblStylePr w:type="band1Horz">
      <w:rPr>
        <w:color w:val="245A8D" w:themeColor="accent1" w:themeShade="95"/>
        <w:sz w:val="22"/>
      </w:rPr>
      <w:tblPr/>
      <w:tcPr>
        <w:shd w:val="clear" w:color="CFDBF0"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basedOn w:val="a1"/>
    <w:uiPriority w:val="99"/>
    <w:rsid w:val="00D10481"/>
    <w:pPr>
      <w:suppressAutoHyphens/>
      <w:spacing w:after="0" w:line="240" w:lineRule="auto"/>
    </w:pPr>
    <w:rPr>
      <w:lang w:val="uk-U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a1"/>
    <w:uiPriority w:val="99"/>
    <w:rsid w:val="00D10481"/>
    <w:pPr>
      <w:suppressAutoHyphens/>
      <w:spacing w:after="0" w:line="240" w:lineRule="auto"/>
    </w:pPr>
    <w:rPr>
      <w:lang w:val="uk-U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a1"/>
    <w:uiPriority w:val="99"/>
    <w:rsid w:val="00D10481"/>
    <w:pPr>
      <w:suppressAutoHyphens/>
      <w:spacing w:after="0" w:line="240" w:lineRule="auto"/>
    </w:pPr>
    <w:rPr>
      <w:lang w:val="uk-U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a1"/>
    <w:uiPriority w:val="99"/>
    <w:rsid w:val="00D10481"/>
    <w:pPr>
      <w:suppressAutoHyphens/>
      <w:spacing w:after="0" w:line="240" w:lineRule="auto"/>
    </w:pPr>
    <w:rPr>
      <w:lang w:val="uk-UA"/>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D5E5F4" w:fill="CFDBF0" w:themeFill="accent5" w:themeFillTint="40"/>
      </w:tcPr>
    </w:tblStylePr>
    <w:tblStylePr w:type="band1Horz">
      <w:rPr>
        <w:color w:val="8DA9DB" w:themeColor="accent5" w:themeTint="9A" w:themeShade="95"/>
        <w:sz w:val="22"/>
      </w:rPr>
      <w:tblPr/>
      <w:tcPr>
        <w:shd w:val="clear" w:color="D5E5F4"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basedOn w:val="a1"/>
    <w:uiPriority w:val="99"/>
    <w:rsid w:val="00D10481"/>
    <w:pPr>
      <w:suppressAutoHyphens/>
      <w:spacing w:after="0" w:line="240" w:lineRule="auto"/>
    </w:pPr>
    <w:rPr>
      <w:lang w:val="uk-U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styleId="-70">
    <w:name w:val="List Table 7 Colorful"/>
    <w:basedOn w:val="a1"/>
    <w:uiPriority w:val="99"/>
    <w:rsid w:val="00D10481"/>
    <w:pPr>
      <w:suppressAutoHyphens/>
      <w:spacing w:after="0" w:line="240" w:lineRule="auto"/>
    </w:pPr>
    <w:rPr>
      <w:lang w:val="uk-UA"/>
    </w:rPr>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rsid w:val="00D10481"/>
    <w:pPr>
      <w:suppressAutoHyphens/>
      <w:spacing w:after="0" w:line="240" w:lineRule="auto"/>
    </w:pPr>
    <w:rPr>
      <w:lang w:val="uk-UA"/>
    </w:rPr>
    <w:tblPr>
      <w:tblStyleRowBandSize w:val="1"/>
      <w:tblStyleColBandSize w:val="1"/>
      <w:tblBorders>
        <w:right w:val="single" w:sz="4" w:space="0" w:color="5B9BD5" w:themeColor="accent1"/>
      </w:tblBorders>
    </w:tblPr>
    <w:tblStylePr w:type="firstRow">
      <w:rPr>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CFDBF0" w:fill="D5E5F4" w:themeFill="accent1" w:themeFillTint="40"/>
      </w:tcPr>
    </w:tblStylePr>
    <w:tblStylePr w:type="band1Horz">
      <w:rPr>
        <w:color w:val="245A8D" w:themeColor="accent1" w:themeShade="95"/>
        <w:sz w:val="22"/>
      </w:rPr>
      <w:tblPr/>
      <w:tcPr>
        <w:shd w:val="clear" w:color="CFDBF0"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basedOn w:val="a1"/>
    <w:uiPriority w:val="99"/>
    <w:rsid w:val="00D10481"/>
    <w:pPr>
      <w:suppressAutoHyphens/>
      <w:spacing w:after="0" w:line="240" w:lineRule="auto"/>
    </w:pPr>
    <w:rPr>
      <w:lang w:val="uk-UA"/>
    </w:rPr>
    <w:tblPr>
      <w:tblStyleRowBandSize w:val="1"/>
      <w:tblStyleColBandSize w:val="1"/>
      <w:tblBorders>
        <w:right w:val="single" w:sz="4" w:space="0" w:color="F4B184" w:themeColor="accent2" w:themeTint="97"/>
      </w:tblBorders>
    </w:tblPr>
    <w:tblStylePr w:type="firstRow">
      <w:rPr>
        <w:i/>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a1"/>
    <w:uiPriority w:val="99"/>
    <w:rsid w:val="00D10481"/>
    <w:pPr>
      <w:suppressAutoHyphens/>
      <w:spacing w:after="0" w:line="240" w:lineRule="auto"/>
    </w:pPr>
    <w:rPr>
      <w:lang w:val="uk-UA"/>
    </w:rPr>
    <w:tblPr>
      <w:tblStyleRowBandSize w:val="1"/>
      <w:tblStyleColBandSize w:val="1"/>
      <w:tblBorders>
        <w:right w:val="single" w:sz="4" w:space="0" w:color="C9C9C9" w:themeColor="accent3" w:themeTint="98"/>
      </w:tblBorders>
    </w:tblPr>
    <w:tblStylePr w:type="firstRow">
      <w:rPr>
        <w:i/>
        <w:color w:val="C9C9C9" w:themeColor="accent3" w:themeTint="98"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9C9C9" w:themeColor="accent3" w:themeTint="98"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a1"/>
    <w:uiPriority w:val="99"/>
    <w:rsid w:val="00D10481"/>
    <w:pPr>
      <w:suppressAutoHyphens/>
      <w:spacing w:after="0" w:line="240" w:lineRule="auto"/>
    </w:pPr>
    <w:rPr>
      <w:lang w:val="uk-UA"/>
    </w:rPr>
    <w:tblPr>
      <w:tblStyleRowBandSize w:val="1"/>
      <w:tblStyleColBandSize w:val="1"/>
      <w:tblBorders>
        <w:right w:val="single" w:sz="4" w:space="0" w:color="FFD865" w:themeColor="accent4" w:themeTint="9A"/>
      </w:tblBorders>
    </w:tblPr>
    <w:tblStylePr w:type="firstRow">
      <w:rPr>
        <w:i/>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a1"/>
    <w:uiPriority w:val="99"/>
    <w:rsid w:val="00D10481"/>
    <w:pPr>
      <w:suppressAutoHyphens/>
      <w:spacing w:after="0" w:line="240" w:lineRule="auto"/>
    </w:pPr>
    <w:rPr>
      <w:lang w:val="uk-UA"/>
    </w:rPr>
    <w:tblPr>
      <w:tblStyleRowBandSize w:val="1"/>
      <w:tblStyleColBandSize w:val="1"/>
      <w:tblBorders>
        <w:right w:val="single" w:sz="4" w:space="0" w:color="8DA9DB" w:themeColor="accent5" w:themeTint="9A"/>
      </w:tblBorders>
    </w:tblPr>
    <w:tblStylePr w:type="firstRow">
      <w:rPr>
        <w:i/>
        <w:color w:val="8DA9DB" w:themeColor="accent5" w:themeTint="9A"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8DA9DB" w:themeColor="accent5" w:themeTint="9A"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D5E5F4" w:fill="CFDBF0" w:themeFill="accent5" w:themeFillTint="40"/>
      </w:tcPr>
    </w:tblStylePr>
    <w:tblStylePr w:type="band1Horz">
      <w:rPr>
        <w:color w:val="8DA9DB" w:themeColor="accent5" w:themeTint="9A" w:themeShade="95"/>
        <w:sz w:val="22"/>
      </w:rPr>
      <w:tblPr/>
      <w:tcPr>
        <w:shd w:val="clear" w:color="D5E5F4"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basedOn w:val="a1"/>
    <w:uiPriority w:val="99"/>
    <w:rsid w:val="00D10481"/>
    <w:pPr>
      <w:suppressAutoHyphens/>
      <w:spacing w:after="0" w:line="240" w:lineRule="auto"/>
    </w:pPr>
    <w:rPr>
      <w:lang w:val="uk-UA"/>
    </w:rPr>
    <w:tblPr>
      <w:tblStyleRowBandSize w:val="1"/>
      <w:tblStyleColBandSize w:val="1"/>
      <w:tblBorders>
        <w:right w:val="single" w:sz="4" w:space="0" w:color="A9D08E" w:themeColor="accent6" w:themeTint="98"/>
      </w:tblBorders>
    </w:tblPr>
    <w:tblStylePr w:type="firstRow">
      <w:rPr>
        <w:i/>
        <w:color w:val="A9D08E" w:themeColor="accent6" w:themeTint="98"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A9D08E" w:themeColor="accent6" w:themeTint="98"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537DC8" w:fill="68A2D8" w:themeFill="accent1" w:themeFillTint="EA"/>
      </w:tcPr>
    </w:tblStylePr>
    <w:tblStylePr w:type="lastRow">
      <w:rPr>
        <w:sz w:val="22"/>
      </w:rPr>
      <w:tblPr/>
      <w:tcPr>
        <w:shd w:val="clear" w:color="537DC8" w:fill="68A2D8" w:themeFill="accent1" w:themeFillTint="EA"/>
      </w:tcPr>
    </w:tblStylePr>
    <w:tblStylePr w:type="firstCol">
      <w:rPr>
        <w:sz w:val="22"/>
      </w:rPr>
      <w:tblPr/>
      <w:tcPr>
        <w:shd w:val="clear" w:color="537DC8" w:fill="68A2D8" w:themeFill="accent1" w:themeFillTint="EA"/>
      </w:tcPr>
    </w:tblStylePr>
    <w:tblStylePr w:type="lastCol">
      <w:rPr>
        <w:sz w:val="22"/>
      </w:rPr>
      <w:tblPr/>
      <w:tcPr>
        <w:shd w:val="clear" w:color="537DC8" w:fill="68A2D8" w:themeFill="accent1" w:themeFillTint="EA"/>
      </w:tcPr>
    </w:tblStylePr>
    <w:tblStylePr w:type="band1Vert">
      <w:rPr>
        <w:sz w:val="22"/>
      </w:rPr>
    </w:tblStylePr>
    <w:tblStylePr w:type="band2Vert">
      <w:rPr>
        <w:sz w:val="22"/>
      </w:rPr>
      <w:tblPr/>
      <w:tcPr>
        <w:shd w:val="clear" w:color="C4D2EC" w:fill="CBDFF1" w:themeFill="accent1" w:themeFillTint="50"/>
      </w:tcPr>
    </w:tblStylePr>
    <w:tblStylePr w:type="band1Horz">
      <w:rPr>
        <w:sz w:val="22"/>
      </w:rPr>
    </w:tblStylePr>
    <w:tblStylePr w:type="band2Horz">
      <w:rPr>
        <w:sz w:val="22"/>
      </w:rPr>
      <w:tblPr/>
      <w:tcPr>
        <w:shd w:val="clear" w:color="C4D2EC" w:fill="CBDFF1" w:themeFill="accent1" w:themeFillTint="50"/>
      </w:tcPr>
    </w:tblStylePr>
  </w:style>
  <w:style w:type="table" w:customStyle="1" w:styleId="Lined-Accent2">
    <w:name w:val="Lined - Accent 2"/>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Lined-Accent3">
    <w:name w:val="Lined - Accent 3"/>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Lined-Accent4">
    <w:name w:val="Lined - Accent 4"/>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Lined-Accent5">
    <w:name w:val="Lined - Accent 5"/>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5B9BD5" w:fill="4472C4" w:themeFill="accent5"/>
      </w:tcPr>
    </w:tblStylePr>
    <w:tblStylePr w:type="lastRow">
      <w:rPr>
        <w:sz w:val="22"/>
      </w:rPr>
      <w:tblPr/>
      <w:tcPr>
        <w:shd w:val="clear" w:color="5B9BD5" w:fill="4472C4" w:themeFill="accent5"/>
      </w:tcPr>
    </w:tblStylePr>
    <w:tblStylePr w:type="firstCol">
      <w:rPr>
        <w:sz w:val="22"/>
      </w:rPr>
      <w:tblPr/>
      <w:tcPr>
        <w:shd w:val="clear" w:color="5B9BD5" w:fill="4472C4" w:themeFill="accent5"/>
      </w:tcPr>
    </w:tblStylePr>
    <w:tblStylePr w:type="lastCol">
      <w:rPr>
        <w:sz w:val="22"/>
      </w:rPr>
      <w:tblPr/>
      <w:tcPr>
        <w:shd w:val="clear" w:color="5B9BD5" w:fill="4472C4" w:themeFill="accent5"/>
      </w:tcPr>
    </w:tblStylePr>
    <w:tblStylePr w:type="band1Vert">
      <w:rPr>
        <w:sz w:val="22"/>
      </w:rPr>
    </w:tblStylePr>
    <w:tblStylePr w:type="band2Vert">
      <w:rPr>
        <w:sz w:val="22"/>
      </w:rPr>
      <w:tblPr/>
      <w:tcPr>
        <w:shd w:val="clear" w:color="DDEAF6" w:fill="D8E2F3" w:themeFill="accent5" w:themeFillTint="34"/>
      </w:tcPr>
    </w:tblStylePr>
    <w:tblStylePr w:type="band1Horz">
      <w:rPr>
        <w:sz w:val="22"/>
      </w:rPr>
    </w:tblStylePr>
    <w:tblStylePr w:type="band2Horz">
      <w:rPr>
        <w:sz w:val="22"/>
      </w:rPr>
      <w:tblPr/>
      <w:tcPr>
        <w:shd w:val="clear" w:color="DDEAF6" w:fill="D8E2F3" w:themeFill="accent5" w:themeFillTint="34"/>
      </w:tcPr>
    </w:tblStylePr>
  </w:style>
  <w:style w:type="table" w:customStyle="1" w:styleId="Lined-Accent6">
    <w:name w:val="Lined - Accent 6"/>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Lined-Accent">
    <w:name w:val="Bordered &amp; Lined - Accent"/>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Pr>
    <w:tblStylePr w:type="firstRow">
      <w:rPr>
        <w:sz w:val="22"/>
      </w:rPr>
      <w:tblPr/>
      <w:tcPr>
        <w:shd w:val="clear" w:color="537DC8" w:fill="68A2D8" w:themeFill="accent1" w:themeFillTint="EA"/>
      </w:tcPr>
    </w:tblStylePr>
    <w:tblStylePr w:type="lastRow">
      <w:rPr>
        <w:sz w:val="22"/>
      </w:rPr>
      <w:tblPr/>
      <w:tcPr>
        <w:shd w:val="clear" w:color="537DC8" w:fill="68A2D8" w:themeFill="accent1" w:themeFillTint="EA"/>
      </w:tcPr>
    </w:tblStylePr>
    <w:tblStylePr w:type="firstCol">
      <w:rPr>
        <w:sz w:val="22"/>
      </w:rPr>
      <w:tblPr/>
      <w:tcPr>
        <w:shd w:val="clear" w:color="537DC8" w:fill="68A2D8" w:themeFill="accent1" w:themeFillTint="EA"/>
      </w:tcPr>
    </w:tblStylePr>
    <w:tblStylePr w:type="lastCol">
      <w:rPr>
        <w:sz w:val="22"/>
      </w:rPr>
      <w:tblPr/>
      <w:tcPr>
        <w:shd w:val="clear" w:color="537DC8" w:fill="68A2D8" w:themeFill="accent1" w:themeFillTint="EA"/>
      </w:tcPr>
    </w:tblStylePr>
    <w:tblStylePr w:type="band1Vert">
      <w:rPr>
        <w:sz w:val="22"/>
      </w:rPr>
    </w:tblStylePr>
    <w:tblStylePr w:type="band2Vert">
      <w:rPr>
        <w:sz w:val="22"/>
      </w:rPr>
      <w:tblPr/>
      <w:tcPr>
        <w:shd w:val="clear" w:color="C4D2EC" w:fill="CBDFF1" w:themeFill="accent1" w:themeFillTint="50"/>
      </w:tcPr>
    </w:tblStylePr>
    <w:tblStylePr w:type="band1Horz">
      <w:rPr>
        <w:sz w:val="22"/>
      </w:rPr>
    </w:tblStylePr>
    <w:tblStylePr w:type="band2Horz">
      <w:rPr>
        <w:sz w:val="22"/>
      </w:rPr>
      <w:tblPr/>
      <w:tcPr>
        <w:shd w:val="clear" w:color="C4D2EC" w:fill="CBDFF1" w:themeFill="accent1" w:themeFillTint="50"/>
      </w:tcPr>
    </w:tblStylePr>
  </w:style>
  <w:style w:type="table" w:customStyle="1" w:styleId="BorderedLined-Accent2">
    <w:name w:val="Bordered &amp; Lined - Accent 2"/>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BorderedLined-Accent3">
    <w:name w:val="Bordered &amp; Lined - Accent 3"/>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BorderedLined-Accent4">
    <w:name w:val="Bordered &amp; Lined - Accent 4"/>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BorderedLined-Accent5">
    <w:name w:val="Bordered &amp; Lined - Accent 5"/>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sz w:val="22"/>
      </w:rPr>
      <w:tblPr/>
      <w:tcPr>
        <w:shd w:val="clear" w:color="5B9BD5" w:fill="4472C4" w:themeFill="accent5"/>
      </w:tcPr>
    </w:tblStylePr>
    <w:tblStylePr w:type="lastRow">
      <w:rPr>
        <w:sz w:val="22"/>
      </w:rPr>
      <w:tblPr/>
      <w:tcPr>
        <w:shd w:val="clear" w:color="5B9BD5" w:fill="4472C4" w:themeFill="accent5"/>
      </w:tcPr>
    </w:tblStylePr>
    <w:tblStylePr w:type="firstCol">
      <w:rPr>
        <w:sz w:val="22"/>
      </w:rPr>
      <w:tblPr/>
      <w:tcPr>
        <w:shd w:val="clear" w:color="5B9BD5" w:fill="4472C4" w:themeFill="accent5"/>
      </w:tcPr>
    </w:tblStylePr>
    <w:tblStylePr w:type="lastCol">
      <w:rPr>
        <w:sz w:val="22"/>
      </w:rPr>
      <w:tblPr/>
      <w:tcPr>
        <w:shd w:val="clear" w:color="5B9BD5" w:fill="4472C4" w:themeFill="accent5"/>
      </w:tcPr>
    </w:tblStylePr>
    <w:tblStylePr w:type="band1Vert">
      <w:rPr>
        <w:sz w:val="22"/>
      </w:rPr>
    </w:tblStylePr>
    <w:tblStylePr w:type="band2Vert">
      <w:rPr>
        <w:sz w:val="22"/>
      </w:rPr>
      <w:tblPr/>
      <w:tcPr>
        <w:shd w:val="clear" w:color="DDEAF6" w:fill="D8E2F3" w:themeFill="accent5" w:themeFillTint="34"/>
      </w:tcPr>
    </w:tblStylePr>
    <w:tblStylePr w:type="band1Horz">
      <w:rPr>
        <w:sz w:val="22"/>
      </w:rPr>
    </w:tblStylePr>
    <w:tblStylePr w:type="band2Horz">
      <w:rPr>
        <w:sz w:val="22"/>
      </w:rPr>
      <w:tblPr/>
      <w:tcPr>
        <w:shd w:val="clear" w:color="DDEAF6" w:fill="D8E2F3" w:themeFill="accent5" w:themeFillTint="34"/>
      </w:tcPr>
    </w:tblStylePr>
  </w:style>
  <w:style w:type="table" w:customStyle="1" w:styleId="BorderedLined-Accent6">
    <w:name w:val="Bordered &amp; Lined - Accent 6"/>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
    <w:name w:val="Bordered"/>
    <w:basedOn w:val="a1"/>
    <w:uiPriority w:val="99"/>
    <w:rsid w:val="00D10481"/>
    <w:pPr>
      <w:suppressAutoHyphens/>
      <w:spacing w:after="0" w:line="240" w:lineRule="auto"/>
    </w:pPr>
    <w:rPr>
      <w:lang w:val="uk-U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rsid w:val="00D10481"/>
    <w:pPr>
      <w:suppressAutoHyphens/>
      <w:spacing w:after="0" w:line="240" w:lineRule="auto"/>
    </w:pPr>
    <w:rPr>
      <w:lang w:val="uk-UA"/>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sz w:val="22"/>
      </w:rPr>
      <w:tblPr/>
      <w:tcPr>
        <w:tcBorders>
          <w:bottom w:val="single" w:sz="12" w:space="0" w:color="5B9BD5" w:themeColor="accent1"/>
        </w:tcBorders>
      </w:tcPr>
    </w:tblStylePr>
    <w:tblStylePr w:type="lastRow">
      <w:rPr>
        <w:sz w:val="22"/>
      </w:rPr>
      <w:tblPr/>
      <w:tcPr>
        <w:tcBorders>
          <w:top w:val="single" w:sz="12" w:space="0" w:color="5B9BD5" w:themeColor="accent1"/>
        </w:tcBorders>
      </w:tcPr>
    </w:tblStylePr>
    <w:tblStylePr w:type="firstCol">
      <w:rPr>
        <w:sz w:val="22"/>
      </w:rPr>
    </w:tblStylePr>
    <w:tblStylePr w:type="lastCol">
      <w:rPr>
        <w:sz w:val="22"/>
      </w:rPr>
      <w:tblPr/>
      <w:tcPr>
        <w:tcBorders>
          <w:left w:val="single" w:sz="12" w:space="0" w:color="5B9BD5" w:themeColor="accent1"/>
        </w:tcBorders>
      </w:tc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basedOn w:val="a1"/>
    <w:uiPriority w:val="99"/>
    <w:rsid w:val="00D10481"/>
    <w:pPr>
      <w:suppressAutoHyphens/>
      <w:spacing w:after="0" w:line="240" w:lineRule="auto"/>
    </w:pPr>
    <w:rPr>
      <w:lang w:val="uk-U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a1"/>
    <w:uiPriority w:val="99"/>
    <w:rsid w:val="00D10481"/>
    <w:pPr>
      <w:suppressAutoHyphens/>
      <w:spacing w:after="0" w:line="240" w:lineRule="auto"/>
    </w:pPr>
    <w:rPr>
      <w:lang w:val="uk-U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a1"/>
    <w:uiPriority w:val="99"/>
    <w:rsid w:val="00D10481"/>
    <w:pPr>
      <w:suppressAutoHyphens/>
      <w:spacing w:after="0" w:line="240" w:lineRule="auto"/>
    </w:pPr>
    <w:rPr>
      <w:lang w:val="uk-U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a1"/>
    <w:uiPriority w:val="99"/>
    <w:rsid w:val="00D10481"/>
    <w:pPr>
      <w:suppressAutoHyphens/>
      <w:spacing w:after="0" w:line="240" w:lineRule="auto"/>
    </w:pPr>
    <w:rPr>
      <w:lang w:val="uk-UA"/>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sz w:val="22"/>
      </w:rPr>
      <w:tblPr/>
      <w:tcPr>
        <w:tcBorders>
          <w:bottom w:val="single" w:sz="12" w:space="0" w:color="4472C4" w:themeColor="accent5"/>
        </w:tcBorders>
      </w:tcPr>
    </w:tblStylePr>
    <w:tblStylePr w:type="lastRow">
      <w:rPr>
        <w:sz w:val="22"/>
      </w:rPr>
      <w:tblPr/>
      <w:tcPr>
        <w:tcBorders>
          <w:top w:val="single" w:sz="12" w:space="0" w:color="4472C4" w:themeColor="accent5"/>
        </w:tcBorders>
      </w:tcPr>
    </w:tblStylePr>
    <w:tblStylePr w:type="firstCol">
      <w:rPr>
        <w:sz w:val="22"/>
      </w:rPr>
    </w:tblStylePr>
    <w:tblStylePr w:type="lastCol">
      <w:rPr>
        <w:sz w:val="22"/>
      </w:rPr>
      <w:tblPr/>
      <w:tcPr>
        <w:tcBorders>
          <w:left w:val="single" w:sz="12" w:space="0" w:color="4472C4" w:themeColor="accent5"/>
        </w:tcBorders>
      </w:tc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basedOn w:val="a1"/>
    <w:uiPriority w:val="99"/>
    <w:rsid w:val="00D10481"/>
    <w:pPr>
      <w:suppressAutoHyphens/>
      <w:spacing w:after="0" w:line="240" w:lineRule="auto"/>
    </w:pPr>
    <w:rPr>
      <w:lang w:val="uk-U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customStyle="1" w:styleId="TableNormal1">
    <w:name w:val="Table Normal1"/>
    <w:qFormat/>
    <w:rsid w:val="00D10481"/>
    <w:pPr>
      <w:widowControl w:val="0"/>
      <w:spacing w:after="0" w:line="240" w:lineRule="auto"/>
    </w:pPr>
    <w:rPr>
      <w:rFonts w:ascii="Times New Roman" w:eastAsia="Times New Roman" w:hAnsi="Times New Roman" w:cs="Times New Roman"/>
      <w:sz w:val="20"/>
      <w:szCs w:val="20"/>
      <w:lang w:val="uk-UA" w:eastAsia="uk-UA"/>
    </w:rPr>
    <w:tblPr>
      <w:tblCellMar>
        <w:top w:w="0" w:type="dxa"/>
        <w:left w:w="0" w:type="dxa"/>
        <w:bottom w:w="0" w:type="dxa"/>
        <w:right w:w="0" w:type="dxa"/>
      </w:tblCellMar>
    </w:tblPr>
  </w:style>
  <w:style w:type="character" w:customStyle="1" w:styleId="af1">
    <w:name w:val="Абзац списка Знак"/>
    <w:link w:val="14"/>
    <w:uiPriority w:val="34"/>
    <w:qFormat/>
    <w:rsid w:val="00D10481"/>
    <w:rPr>
      <w:rFonts w:ascii="Times New Roman" w:eastAsia="Calibri" w:hAnsi="Times New Roman" w:cs="Times New Roman"/>
      <w:sz w:val="24"/>
      <w:szCs w:val="24"/>
      <w:lang w:val="uk-UA" w:eastAsia="zh-CN" w:bidi="hi-IN"/>
    </w:rPr>
  </w:style>
  <w:style w:type="character" w:styleId="afff1">
    <w:name w:val="Emphasis"/>
    <w:basedOn w:val="a0"/>
    <w:uiPriority w:val="20"/>
    <w:qFormat/>
    <w:rsid w:val="00D10481"/>
    <w:rPr>
      <w:i/>
      <w:iCs/>
    </w:rPr>
  </w:style>
  <w:style w:type="table" w:customStyle="1" w:styleId="TableNormal">
    <w:name w:val="TableNormal"/>
    <w:rsid w:val="00D10481"/>
    <w:pPr>
      <w:spacing w:after="0" w:line="276" w:lineRule="auto"/>
    </w:pPr>
    <w:rPr>
      <w:rFonts w:ascii="Arial" w:eastAsia="Arial" w:hAnsi="Arial" w:cs="Arial"/>
      <w:lang w:val="uk" w:eastAsia="uk-UA"/>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18</Pages>
  <Words>16938</Words>
  <Characters>9656</Characters>
  <Application>Microsoft Office Word</Application>
  <DocSecurity>0</DocSecurity>
  <Lines>80</Lines>
  <Paragraphs>53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216</cp:revision>
  <dcterms:created xsi:type="dcterms:W3CDTF">2022-11-01T12:47:00Z</dcterms:created>
  <dcterms:modified xsi:type="dcterms:W3CDTF">2026-07-17T09:53:00Z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