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1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Послуги з </w:t>
      </w:r>
      <w:r>
        <w:rPr>
          <w:b w:val="0"/>
          <w:spacing w:val="1"/>
          <w:sz w:val="24"/>
          <w:szCs w:val="24"/>
        </w:rPr>
        <w:t xml:space="preserve"> налаштування та  виправлення виявлених </w:t>
      </w:r>
      <w:r>
        <w:rPr>
          <w:b w:val="0"/>
          <w:spacing w:val="1"/>
          <w:sz w:val="24"/>
          <w:szCs w:val="24"/>
        </w:rPr>
        <w:t xml:space="preserve">несправностей</w:t>
      </w:r>
      <w:r>
        <w:rPr>
          <w:b w:val="0"/>
          <w:spacing w:val="1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, технічної підтримки та обслуговування інформаційно-комунікаційної системи 112 за кодом  ДК 021:2015: 72250000-2 Послуги, пов’язані із системами та підтримкою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007612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Послуги з 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налаштування та  виправлення виявлених 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несправностей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, технічної підтримки та обслуговування інформаційно-комунікаційної системи 112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Послуги з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налаштування та  виправлення виявлених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несправностей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, технічної підтримки та обслуговування інформаційно-комунікаційної системи 112 за кодом  ДК 021:2015: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72250000-2 Послуги, пов’язані із системами та підтримкою.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надання Послуг складає:</w:t>
      </w:r>
      <w:r>
        <w:rPr>
          <w:rFonts w:ascii="Times New Roman" w:hAnsi="Times New Roman" w:cs="Times New Roman"/>
          <w:sz w:val="24"/>
          <w:szCs w:val="24"/>
        </w:rPr>
        <w:t xml:space="preserve"> дати укладання договору по 31 грудня 2023 року.  </w:t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оплати</w:t>
      </w:r>
      <w:r>
        <w:rPr>
          <w:rFonts w:ascii="Times New Roman" w:hAnsi="Times New Roman" w:cs="Times New Roman"/>
          <w:sz w:val="24"/>
          <w:szCs w:val="24"/>
        </w:rPr>
        <w:t xml:space="preserve">: по факту надання послуг. </w:t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4799"/>
        <w:gridCol w:w="1700"/>
        <w:gridCol w:w="1276"/>
        <w:gridCol w:w="1276"/>
      </w:tblGrid>
      <w:tr>
        <w:trPr>
          <w:trHeight w:val="387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Найменування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Робіт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Період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надання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Одиниця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виміру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Послуги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налаштування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та  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виправлення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виявлених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несправностей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ІКС 112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Послуги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технічної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підтримки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обслуговування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ІКС 112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.12.23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СКЛАД (ЗМІСТ) ВИМОГ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компонентів ІКС 112 щодо якої надаються Послуги:</w:t>
      </w:r>
      <w:r/>
    </w:p>
    <w:tbl>
      <w:tblPr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952"/>
        <w:gridCol w:w="2125"/>
        <w:gridCol w:w="1276"/>
      </w:tblGrid>
      <w:tr>
        <w:trPr>
          <w:trHeight w:val="387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Найменування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версія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Коротке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позначення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Кількість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та од.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виміру</w:t>
            </w:r>
            <w:r/>
          </w:p>
        </w:tc>
      </w:tr>
      <w:tr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Cisco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Packaged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Contact Center Enterprise 12.6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PCCE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150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agents</w:t>
            </w:r>
            <w:r/>
          </w:p>
        </w:tc>
      </w:tr>
      <w:tr>
        <w:trPr>
          <w:trHeight w:val="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Cisco Unified Communications Manager 14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CUCM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150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agents</w:t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Eleveo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Call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Recording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7.1 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складі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/>
          </w:p>
          <w:p>
            <w:pPr>
              <w:pStyle w:val="715"/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Zoom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CalREC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for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CCE</w:t>
            </w:r>
            <w:r/>
          </w:p>
          <w:p>
            <w:pPr>
              <w:pStyle w:val="715"/>
              <w:numPr>
                <w:ilvl w:val="0"/>
                <w:numId w:val="26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High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Availability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for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CallREC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Eleveo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150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agents</w:t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Ender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Turing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Contact Center Performance Management Platform, On-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premises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bundle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ET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Speech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Analytics 2.0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ET-SA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150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agents</w:t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Smiddle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Manager,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Smiddle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Omnichannel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Smiddle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Recording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Smiddle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Webex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to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UCCE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Connector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VideoCall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agents</w:t>
            </w:r>
            <w:r/>
          </w:p>
        </w:tc>
      </w:tr>
      <w:tr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Cisco Unified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Border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Element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v14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CUBE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256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sessions</w:t>
            </w:r>
            <w:r/>
          </w:p>
        </w:tc>
      </w:tr>
      <w:tr>
        <w:trPr>
          <w:trHeight w:val="1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Сервер Cisco Business Edition 7000H (M5)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BE7H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шт</w:t>
            </w:r>
            <w:r/>
          </w:p>
        </w:tc>
      </w:tr>
      <w:tr>
        <w:trPr>
          <w:trHeight w:val="1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Голосовий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шлюз ISR4451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ISR4451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шт</w:t>
            </w:r>
            <w:r/>
          </w:p>
        </w:tc>
      </w:tr>
      <w:tr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Cisco UC Phone 7821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Phone 7821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150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шт</w:t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Гіперконвергентний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обчислювальний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кластер DELL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VxRail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nodes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з набором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VmWare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vSphere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Enterprise Plus,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vSAN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Advanced)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DELL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VxRail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nodes</w:t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Cистема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збереження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DELL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PowerScale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/ISILON A200 (4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nodes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комутаторами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DELL S4112 (2 шт.)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СЗД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DELL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PowerScale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шт</w:t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резервного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копіювання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відновлення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DELL IDPA 4400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СРК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DELL IDPA 4400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шт</w:t>
            </w:r>
            <w:r/>
          </w:p>
        </w:tc>
      </w:tr>
      <w:tr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Пристрій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захисту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інформації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Cisco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Firepower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2120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Firepower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шт</w:t>
            </w:r>
            <w:r/>
          </w:p>
        </w:tc>
      </w:tr>
      <w:tr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Мережеве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обладнання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DELL S5248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DELL S5248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шт</w:t>
            </w:r>
            <w:r/>
          </w:p>
        </w:tc>
      </w:tr>
      <w:tr>
        <w:trPr>
          <w:trHeight w:val="1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Мережеве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обладнання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DELL S3148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DELL S3148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шт</w:t>
            </w:r>
            <w:r/>
          </w:p>
        </w:tc>
      </w:tr>
      <w:tr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Мережеве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обладнання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Cisco Catalyst C9300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Catalyst C9300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шт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Мережеве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обладнання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Cisco Catalyst C9200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Catalyst C9200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шт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5"/>
        <w:numPr>
          <w:ilvl w:val="0"/>
          <w:numId w:val="27"/>
        </w:numPr>
        <w:ind w:left="284" w:hanging="284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Детальний опис та склад «Послуги з налаштування та виправлення виявлених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несправностей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ІКС 112.</w:t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повинен надати наступний комплекс Послуг: </w:t>
      </w:r>
      <w:r/>
    </w:p>
    <w:p>
      <w:pPr>
        <w:numPr>
          <w:ilvl w:val="0"/>
          <w:numId w:val="28"/>
        </w:numPr>
        <w:ind w:left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Перевірка поточної конфігурації та налаштувань всіх компонентів ІКС 112;</w:t>
      </w:r>
      <w:r/>
    </w:p>
    <w:p>
      <w:pPr>
        <w:numPr>
          <w:ilvl w:val="0"/>
          <w:numId w:val="28"/>
        </w:numPr>
        <w:ind w:left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Виправлення виявлених функціональних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несправностей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та помилок в конфігураціях компонентів ІКС 112;</w:t>
      </w:r>
      <w:r/>
    </w:p>
    <w:p>
      <w:pPr>
        <w:numPr>
          <w:ilvl w:val="0"/>
          <w:numId w:val="28"/>
        </w:numPr>
        <w:ind w:left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Перевірка поточної інтеграції з телефонною мережею загального користування: шлюзи, номерний план, стик з операторами зв’язку;</w:t>
      </w:r>
      <w:r/>
    </w:p>
    <w:p>
      <w:pPr>
        <w:numPr>
          <w:ilvl w:val="0"/>
          <w:numId w:val="28"/>
        </w:numPr>
        <w:ind w:left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Надання пропозицій щодо оптимізації конфігурацій 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доналаштування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компонентів ІКС 112 згідно цільових бізнес-процесів контакт-центру Замовника;</w:t>
      </w:r>
      <w:r/>
    </w:p>
    <w:p>
      <w:pPr>
        <w:numPr>
          <w:ilvl w:val="0"/>
          <w:numId w:val="28"/>
        </w:numPr>
        <w:ind w:left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Модифікація скриптів ICM, CVP, гаджетів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Finesse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згідно вимог Замовника щодо маршрутизації дзвінків;</w:t>
      </w:r>
      <w:r/>
    </w:p>
    <w:p>
      <w:pPr>
        <w:numPr>
          <w:ilvl w:val="0"/>
          <w:numId w:val="28"/>
        </w:numPr>
        <w:ind w:left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Налаштування необхідних інтеграцій, в тому числі з іншими інформаційними системами Замовника (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CRM</w:t>
      </w:r>
      <w:r>
        <w:rPr>
          <w:rFonts w:ascii="Times New Roman" w:hAnsi="Times New Roman" w:eastAsia="Calibri" w:cs="Times New Roman"/>
          <w:sz w:val="24"/>
          <w:szCs w:val="24"/>
        </w:rPr>
        <w:t xml:space="preserve"> зокрема);</w:t>
      </w:r>
      <w:r/>
    </w:p>
    <w:p>
      <w:pPr>
        <w:numPr>
          <w:ilvl w:val="0"/>
          <w:numId w:val="28"/>
        </w:numPr>
        <w:ind w:left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Оптимізація використання віртуальних обчислювальних ресурсів та розподілу віртуальних серверів між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хостами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/>
    </w:p>
    <w:p>
      <w:pPr>
        <w:numPr>
          <w:ilvl w:val="0"/>
          <w:numId w:val="28"/>
        </w:numPr>
        <w:ind w:left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Встановлення оновлень операційних систем всіх віртуальних серверів що входять до складу ІКС 112;</w:t>
      </w:r>
      <w:r/>
    </w:p>
    <w:p>
      <w:pPr>
        <w:numPr>
          <w:ilvl w:val="0"/>
          <w:numId w:val="28"/>
        </w:numPr>
        <w:ind w:left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Навчання адміністраторів Замовника базовим інструментам моніторингу стану ІКС 112 та засобам базового адміністрування;</w:t>
      </w:r>
      <w:r/>
    </w:p>
    <w:p>
      <w:pPr>
        <w:numPr>
          <w:ilvl w:val="0"/>
          <w:numId w:val="28"/>
        </w:numPr>
        <w:ind w:left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Навчання агентів та супервізорів Замовника (робоче місце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Finesse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управління викликом, звітність);</w:t>
      </w:r>
      <w:r/>
    </w:p>
    <w:p>
      <w:pPr>
        <w:numPr>
          <w:ilvl w:val="0"/>
          <w:numId w:val="28"/>
        </w:numPr>
        <w:ind w:left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Бекапування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згідно узгодженого із Замовником плану/переліку, конфігурацій критичних компонентів мережі та віртуальних серверів у складі ІКС 112 для можливості відновлення у разі програмних та/або апаратних збоїв.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5"/>
        <w:numPr>
          <w:ilvl w:val="0"/>
          <w:numId w:val="27"/>
        </w:numPr>
        <w:ind w:left="284" w:hanging="284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Детальний опис та склад «Послуги з технічної підтримки та обслуговування ІКС 112.</w:t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повинен надати наступний комплекс Послуг:</w:t>
      </w:r>
      <w:r/>
    </w:p>
    <w:tbl>
      <w:tblPr>
        <w:tblW w:w="5043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3"/>
        <w:gridCol w:w="6950"/>
        <w:gridCol w:w="2227"/>
      </w:tblGrid>
      <w:tr>
        <w:trPr/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№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Послуги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Обсяг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Реєстрація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звернень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Замовника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службі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технічної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підтримки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далі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СТП)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Виконавця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24х7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Обробка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замовлень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надання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цієї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підтримки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згідно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пріоритетів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звернень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Діагностика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складових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згідно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зареєстрованим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у СТП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зверненням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дистанційно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згідно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пріоритетів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обмежень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Виправлення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помилок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у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налаштуваннях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» та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конфігураціях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складових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згідно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Пріоритету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звернень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дистанційно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в тому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числі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виїздом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Виконавця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місце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експлуатації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в межах м.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Києва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якщо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дистанційна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діагностика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може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бути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використана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для таких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робіт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обмежень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Внесення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конфігурації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в рамках директив 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рекомендацій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вендорів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зокрема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Cisco TAC, в тому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числі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встановлення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виправлень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ПЗ (патчей, виду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x.x.X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які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надає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Cisco TAC.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обмежень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Зміни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налаштуванні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конфігурації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складових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в тому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числі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відновлення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працездатності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які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стали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необхідними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наслідок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Замовника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обмежень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Кількість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виїздів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Виконавця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до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Замовника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в межах м.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Києва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діагностики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складових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якщо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дистанційна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діагностика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неможлива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наслідок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Замовника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. Або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необхідна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заміна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апаратної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складової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яка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вийшла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з ладу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наслідок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Замовника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виїздів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Адміністрування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дистанційно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обмежень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Консультації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функціоналу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в тому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числі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стосовно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звітності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CUIC,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адмініструванню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обмежень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Створення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резервних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копій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віртуальних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машин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зверненням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Замовника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якщо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автоматичне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копіювання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неможливо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раз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місяць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Прибуття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інженера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майданчик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Замовника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встановлення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інженером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Виконавця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необхідності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згідно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пріоритетів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Розробка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впровадження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додаткового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функціоналу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модулів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модернізації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(в тому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числі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мінорні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мажорні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апгрейди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зверненням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Замовника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людино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-годин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звітність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зверненнями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Виконавця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за запитом.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Додаткові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зазначені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вище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надаються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узгодженням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між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Виконавцем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Замовником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Обсяг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робіт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їх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виконання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ціна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погоджуються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кожному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випадку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окремо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відповідних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зверненнях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додаткового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узгодження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Детальний опис складової технічної підтримки в частині </w:t>
      </w:r>
      <w:r>
        <w:rPr>
          <w:rFonts w:ascii="Times New Roman" w:hAnsi="Times New Roman" w:cs="Times New Roman"/>
          <w:b/>
          <w:sz w:val="24"/>
          <w:szCs w:val="24"/>
        </w:rPr>
        <w:t xml:space="preserve">гіперконвергентного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обчислювального кластеру DELL </w:t>
      </w:r>
      <w:r>
        <w:rPr>
          <w:rFonts w:ascii="Times New Roman" w:hAnsi="Times New Roman" w:cs="Times New Roman"/>
          <w:b/>
          <w:sz w:val="24"/>
          <w:szCs w:val="24"/>
        </w:rPr>
        <w:t xml:space="preserve">VxRail</w:t>
      </w:r>
      <w:r>
        <w:rPr>
          <w:rFonts w:ascii="Times New Roman" w:hAnsi="Times New Roman" w:cs="Times New Roman"/>
          <w:b/>
          <w:sz w:val="24"/>
          <w:szCs w:val="24"/>
        </w:rPr>
        <w:t xml:space="preserve"> (5 </w:t>
      </w:r>
      <w:r>
        <w:rPr>
          <w:rFonts w:ascii="Times New Roman" w:hAnsi="Times New Roman" w:cs="Times New Roman"/>
          <w:b/>
          <w:sz w:val="24"/>
          <w:szCs w:val="24"/>
        </w:rPr>
        <w:t xml:space="preserve">нод</w:t>
      </w:r>
      <w:r>
        <w:rPr>
          <w:rFonts w:ascii="Times New Roman" w:hAnsi="Times New Roman" w:cs="Times New Roman"/>
          <w:b/>
          <w:sz w:val="24"/>
          <w:szCs w:val="24"/>
        </w:rPr>
        <w:t xml:space="preserve">) з набором програмного забезпечення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VmWare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vSphere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Enterprise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Plus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vSAN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Advanced</w:t>
      </w:r>
      <w:r>
        <w:rPr>
          <w:rFonts w:ascii="Times New Roman" w:hAnsi="Times New Roman" w:cs="Times New Roman"/>
          <w:b/>
          <w:sz w:val="24"/>
          <w:szCs w:val="24"/>
        </w:rPr>
        <w:t xml:space="preserve">):</w:t>
      </w:r>
      <w:r/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072"/>
      </w:tblGrid>
      <w:tr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№ п/п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Послуги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0" w:firstLine="318"/>
              <w:jc w:val="center"/>
              <w:spacing w:after="0" w:line="240" w:lineRule="auto"/>
              <w:widowControl w:val="off"/>
              <w:tabs>
                <w:tab w:val="num" w:pos="318" w:leader="none"/>
              </w:tabs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надання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підтримки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Виконавець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має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здійснювати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:</w:t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Адміністрування функціонування апаратної складової кластеру: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(модифікація) параметрів функціонування апаратної складової кластеру (параметри BIOS);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Створення, модифікація параметрів дискової підсистеми;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параметрів мережевих інтерфейсів;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оновлення програмного забезпечення та/або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мікрокодів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firmware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 апаратного забезпечення, відповідно до рекомендацій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Модифікація налаштувань для виконання рекомендацій виробників та кращих практик експлуатації рішень.</w:t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Моніторинг функціонування апаратної складової кластеру: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функціонування апаратних компонентів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обчислювального кластеру (центральний процесор, оперативна пам’ять, дискові накопичувачі, мережеві карти, RAID-контролери, карти розширення, блоки живлення, вентилятори, тощо).</w:t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Супровід робіт з заміни несправних елементів: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У разі виходу з ладу апаратних компонентів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обчислювального кластеру (центральний процесор, оперативна пам’ять, дискові накопичувачі, мережеві карти, RAID-контролери, карти розширення, блоки живлення, вентилятори, тощо), здійснювати отримання замінних компонентів у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Здійснення заміни несправних компонентів на місці розташування обладнання. Підмінні компоненти мають надаватися виробником.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Супровід масштабування системи (додавання вузлів, дисків, тощо).</w:t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Адміністрування функціонування програмної складової кластеру: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(модифікація) параметрів функціонування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гіпервізорів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(модифікація) параметрів функціонування дискових масивів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Datastores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(модифікація) параметрів компоненту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vSAN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. Створення модифікація політик збереження даних;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механізмів оптимізації використання дискового простору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дедуплікація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, компресія);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(модифікація) параметрів функціонування мережевої компоненти: створення, редагування, видалення віртуальних комутаторів, порт груп, мережевих політик, тощо;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Створення, редагування параметрів віртуальних машин;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Створення, редагування шаблонів віртуальних машин;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Управління знімками віртуальних машин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snapshot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Оновлення програмного забезпечення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гіпервізорів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, компоненту керування (застосування рекомендованих виробником версій) відповідно до узгоджених рекомендацій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Інтеграція з інфраструктурою Microsoft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Active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Directory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, реалізація рольової моделі контролю доступу.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оновлення програмного забезпечення та/або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мікрокодів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firmware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 апаратного забезпечення, відповідно до рекомендацій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Модифікація налаштувань для виконання рекомендацій виробників та кращих практик експлуатації рішень.</w:t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Моніторинг функціонування: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функціонування віртуальних машин, дискової підсистеми, мережевої підсистеми;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Виявлення та усунення помилок функціонування обчислювального кластеру</w:t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підтримка в актуальному стані експлуатаційної документації (таблиці, схеми, топології, інструкції, настанови, тощо). Зокрема, але не обмежуючись: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рішення обчислювального кластеру;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налаштувань;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Інструкція системного адміністратора щодо експлуатації рішення;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 виконаних дій;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прийнятих рішень.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навчання представників Замовника в частині експлуатації рішення.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5828" w:leader="none"/>
        </w:tabs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Детальний опис складової технічної підтримки в частині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системи збереження даних DELL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PowerScale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/ISILON A200 (4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ноди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) з комутаторами DELL S4112 (2 шт.):</w:t>
      </w:r>
      <w:r/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072"/>
      </w:tblGrid>
      <w:tr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№ п/п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Послуги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0" w:firstLine="318"/>
              <w:jc w:val="center"/>
              <w:spacing w:after="0" w:line="240" w:lineRule="auto"/>
              <w:widowControl w:val="off"/>
              <w:tabs>
                <w:tab w:val="num" w:pos="318" w:leader="none"/>
              </w:tabs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надання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підтримки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Виконавець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має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здійснювати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Адміністрування функціонування: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(модифікація) параметрів функціонування операційної системи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системи збереження даних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OneFS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(модифікація) параметрів функціонування дискової підсистеми;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мережевої підсистеми (інтерфейси, мережеві зони (“Access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zones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”));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та адміністрування мережевих каталогів NFS v.4/v.3, SMB v.3/v.2 (включаючи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Multichannel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Continuous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Availability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), FTP.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контролю доступу до мережевих каталогів, модифікація параметрів функціонування, тощо;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користувачів та груп доступу до мережевих каталогів;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автентифікації користувачів до сервісів системи (локальна база користувачів та Microsoft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Active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Directory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компоненту балансування навантаження між елементами системи збереження даних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SmartConnect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механізмів захисту від видалення даних WORM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Write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Once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Read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Many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оновлення програмного забезпечення та/або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мікрокодів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firmware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 апаратного забезпечення, відповідно до рекомендацій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Модифікація налаштувань для виконання рекомендацій виробників та кращих практик експлуатації рішень.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Моніторинг функціонування: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Моніторинг ємності та продуктивності всієї системи збереження даних та кожної 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функціонування апаратних компонентів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системи збереження даних (центральний процесор, оперативна пам’ять, дискові накопичувачі, мережеві карти, блоки живлення, вентилятори, тощо).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функціонування операційної системи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системи збереження даних та функціонуючих сервісів;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Виявлення та усунення помилок функціонування системи збереження даних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Супровід робіт з заміни несправних елементів: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У разі виходу з ладу апаратних компонентів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системи збереження даних (центральний процесор, оперативна пам’ять, дискові накопичувачі, мережеві карти, блоки живлення, вентилятори, тощо), здійснювати отримання замінних компонентів у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Здійснення заміни несправних компонентів на місці розташування обладнання. Підмінні компоненти мають надаватися виробником.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підтримка в актуальному стані експлуатаційної документації (таблиці, схеми, топології, інструкції, настанови, тощо). Зокрема, але не обмежуючись: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рішення збереження даних;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налаштувань;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Інструкція системного адміністратора щодо експлуатації рішення;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 виконаних дій;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прийнятих рішень.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навчання представників Замовника в частині експлуатації рішення.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5828" w:leader="none"/>
        </w:tabs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Детальний опис складової технічної підтримки в частині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системи резервного копіювання та відновлення даних DELL IDPA 4400:</w:t>
      </w:r>
      <w:r/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072"/>
      </w:tblGrid>
      <w:tr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№ п/п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Послуги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0" w:firstLine="318"/>
              <w:jc w:val="center"/>
              <w:spacing w:after="0" w:line="240" w:lineRule="auto"/>
              <w:widowControl w:val="off"/>
              <w:tabs>
                <w:tab w:val="num" w:pos="318" w:leader="none"/>
              </w:tabs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надання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підтримки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Виконавець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має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здійснювати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Адміністрування функціонування: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(модифікація) параметрів функціонування всіх складових компонентів (програмного забезпечення) інтегрованого рішення DELL IDPA;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завдання резервного копіювання з використанням та без використання агентів резервного копіювання;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завдання резервного копіювання віртуальних машин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віртуалізованого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обчислювального кластеру;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завдань резервного копіювання додатків інфраструктури Microsoft, зокрема, Microsoft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Active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Directory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, Microsoft SQL Server;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завдань резервного копіювання додатків інфраструктури (баз даних):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MySQL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PostgreSQL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Виконання систематичного тестування відновлення віртуальних машин та сервісів, а також перевірка коректності їх функціонування після відновлення;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Виконання відновлення віртуальних машин за заявками Замовника;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оновлення програмного забезпечення та/або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мікрокодів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firmware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 апаратного забезпечення, відповідно до рекомендацій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Модифікація налаштувань для виконання рекомендацій виробників та кращих практик експлуатації рішень.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Моніторинг функціонування: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функціонування апаратних компонентів інтегрованого рішення DELL IDPA 400 (центральний процесор, оперативна пам’ять, дискові накопичувачі, мережеві карти, блоки живлення, вентилятори, тощо).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функціонування всіх складових компонентів (програмного забезпечення) інтегрованого рішення DELL IDPA;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результатів виконання резервного копіювання (успішність, або не успішність). Усунення проблем створення резервних копій віртуальних машин та сервісів;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Виявлення та усунення помилок функціонування системи збереження даних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Супровід робіт з заміни несправних елементів: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У разі виходу з ладу апаратних компонентів  інтегрованого рішення DELL IDPA (центральний процесор, оперативна пам’ять, дискові накопичувачі, мережеві карти, блоки живлення, вентилятори, тощо), здійснювати отримання замінних компонентів у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Здійснення заміни несправних компонентів на місці розташування обладнання. Підмінні компоненти мають надаватися виробником.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підтримка в актуальному стані експлуатаційної документації (таблиці, схеми, топології, інструкції, настанови, тощо). Зокрема, але не обмежуючись, 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рішення резервного копіювання та відновлення даних;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налаштувань;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Документація стосовно резервного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копіювання та відновлення інформації (наприклад, План резервного копіювання та відновлення інформації, Регламент резервного копіювання та відновлення інформації, Інструкції адміністраторів щодо здійснення резервного копіювання та відновлення інформації); 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Інструкція системного адміністратора щодо експлуатації рішення.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 виконаних дій;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прийнятих рішень.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навчання представників Замовника в частині експлуатації рішення.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5828" w:leader="none"/>
        </w:tabs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Детальний опис складової технічної підтримки в частині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пристроїв захисту інформації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Cisco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Firepower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2120 (2 шт.) з пристроями керування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Cisco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Firepower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Management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Center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Virtual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(2 шт.):</w:t>
      </w:r>
      <w:r/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072"/>
      </w:tblGrid>
      <w:tr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№ п/п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Послуги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0" w:firstLine="318"/>
              <w:jc w:val="center"/>
              <w:spacing w:after="0" w:line="240" w:lineRule="auto"/>
              <w:widowControl w:val="off"/>
              <w:tabs>
                <w:tab w:val="num" w:pos="318" w:leader="none"/>
              </w:tabs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надання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підтримки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Виконавець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має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здійснювати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Адміністрування функціонування: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(модифікація) параметрів функціонування пристроїв захисту інформації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Firepower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2120 та пристроїв керування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Firepower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Management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Center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Virtual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(далі – компоненти рішення);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функціонування пристроїв захисту інформації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Firepower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2120 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відмовостійкій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парі HA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High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Availability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функціонування пристроїв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пристроїв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керування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Firepower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Management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Center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Virtual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відмовостійкій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парі HA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High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Availability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мережевих параметрів компонентів рішення;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маршрутизації (статичної та динамічної з використанням протоколу OSPF);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правил трансляції мережевих адрес (NAT);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шифрованих IPSEC тунелів;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політик і правил обробки інформаційних потоків. Фільтрація інформаційних потоків на основі IP-адрес, мережевих портів,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GeoIP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політик виявлення та протидії мережевих вторгненням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Intrusion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Policies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політик виявлення та протидії шкідливому програмному забезпеченню;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політик контролю використання мережевих додатків;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політик контролю доступу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ВЕБ-сайтів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(в тому числі категорій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ВЕБ-сайтів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Здійснення резервного копіювання налаштувань пристроїв захисту інформації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Firepower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2120 та пристроїв керування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Firepower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Management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Center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Virtual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оновлення програмного забезпечення та/або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мікрокодів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firmware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 апаратного забезпечення, відповідно до рекомендацій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Модифікація налаштувань для виконання рекомендацій виробників та кращих практик експлуатації рішень.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Моніторинг функціонування: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функціонування апаратних компонентів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Firepower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2120;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функціонування операційної системи FTD та операційної системи пристроїв керування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Firepower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Management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Center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Virtual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виявлених спроб порушення застосованої політики фільтрації інформаційних потоків, виявлених спроб мережевих атак, виявлених індикаторах компрометації, виявлених комунікаціях з мережевими ресурсами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хостами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), що помічені у здійсненні зловмисних дій в мережі Інтернет;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Виявлення та усунення помилок функціонування пристроїв захисту інформації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Firepower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2120 та пристроїв керування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Firepower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Management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Center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Virtual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. 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Супровід робіт з заміни несправних елементів: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У разі виходу з ладу апаратних компонентів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Firepower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2120, здійснювати отримання замінних компонентів у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Здійснення заміни несправних компонентів на місці розташування обладнання. Підмінні компоненти мають надаватися виробником.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підтримка в актуальному стані експлуатаційної документації (таблиці, схеми, топології, інструкції, настанови, тощо). Зокрема, але не обмежуючись: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рішення захисту інформації;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налаштувань;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зв’язків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з іншими інформаційно-комунікаційними системами;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Інструкція системного адміністратора щодо експлуатації рішення.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 виконаних дій;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прийнятих рішень.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навчання представників Замовника в частині експлуатації рішення.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5828" w:leader="none"/>
        </w:tabs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Детальний опис складової технічної підтримки в частині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мережевого обладнання DELL S5248 (2 шт.), DELL S3148 (1 шт.),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Cisco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Catalyst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C9300 (2 шт.),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Cisco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Catalyst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C9200 (4 шт.):</w:t>
      </w:r>
      <w:r/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072"/>
      </w:tblGrid>
      <w:tr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№ п/п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Послуги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0" w:firstLine="318"/>
              <w:jc w:val="center"/>
              <w:spacing w:after="0" w:line="240" w:lineRule="auto"/>
              <w:widowControl w:val="off"/>
              <w:tabs>
                <w:tab w:val="num" w:pos="318" w:leader="none"/>
              </w:tabs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надання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підтримки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Виконавець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має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здійснювати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Адміністрування функціонування: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(модифікація) параметрів функціонування мережевого обладнання DELL S5248, DELL S3148,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Catalyst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C9300,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Catalyst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C9200 (далі – компоненти);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функціонування мережевого обладнання в режимах DEL VLT 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Stack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мережевих параметрів компонентів;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маршрутизації (статичної та динамічної з використанням протоколу OSPF);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зв’язків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між обладнанням;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технологій FHRP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Hop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Redundancy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Protocol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), зокрема VRRP та HSRP;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віртуальних таблиць маршрутизації VRF;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протоколів SNMP, NTP,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NetFlow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, CDP/LLDP;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оновлення програмного забезпечення та/або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мікрокодів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firmware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 апаратного забезпечення, відповідно до рекомендацій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Модифікація налаштувань для виконання рекомендацій виробників та кращих практик експлуатації рішень.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Моніторинг функціонування: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функціонування апаратних компонентів DELL S5248, DELL S3148,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Catalyst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C9300,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Catalyst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C9200;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функціонування операційних систем DELL S5248, DELL S3148,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Catalyst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C9300,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Catalyst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C92000;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ресурсів мережевого обладнання (завантаження процесора, використання оперативної пам’яті, завантаження мережевих інтерфейсів);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помилок на мережевих інтерфейсах. Вживання засобів усунення проблем функціонування.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Виявлення та усунення помилок функціонування мережевого обладнання DELL S5248, DELL S3148,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Catalyst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C9300,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Catalyst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C9200.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Супровід робіт з заміни несправних елементів: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У разі виходу з ладу апаратних компонентів DELL S5248, DELL S3148,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Catalyst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C9300,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Cisco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Catalyst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C9200, здійснювати отримання замінних компонентів у виробника;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Здійснення заміни несправних компонентів на місці розташування обладнання. Підмінні компоненти мають надаватися виробником.</w:t>
            </w:r>
            <w:r/>
          </w:p>
          <w:p>
            <w:pPr>
              <w:pStyle w:val="715"/>
              <w:ind w:left="144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підтримка в актуальному стані експлуатаційної документації (таблиці, схеми, топології, інструкції, настанови, тощо). Зокрема, але не обмежуючись: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рішення комутації та маршрутизації;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налаштувань;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Схеми та таблиці комутації;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Схеми інформаційних потоків;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підключень до інших інформаційно-комунікаційних систем;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Інструкція системного адміністратора щодо експлуатації рішення.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 виконаних дій;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прийнятих рішень.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навчання представників Замовника в частині експлуатації рішення.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tabs>
          <w:tab w:val="left" w:pos="58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Детальний опис складової технічної підтримки в частині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інфраструктурних сервісів у складі </w:t>
      </w:r>
      <w:r>
        <w:rPr>
          <w:rFonts w:ascii="Times New Roman" w:hAnsi="Times New Roman" w:cs="Times New Roman"/>
          <w:b/>
          <w:sz w:val="24"/>
          <w:szCs w:val="24"/>
        </w:rPr>
        <w:t xml:space="preserve">ІКС 112:</w:t>
      </w:r>
      <w:r/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072"/>
      </w:tblGrid>
      <w:tr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№ п/п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Послуги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0" w:firstLine="318"/>
              <w:jc w:val="center"/>
              <w:spacing w:after="0" w:line="240" w:lineRule="auto"/>
              <w:widowControl w:val="off"/>
              <w:tabs>
                <w:tab w:val="num" w:pos="318" w:leader="none"/>
              </w:tabs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надання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підтримки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Виконавець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має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здійснювати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Розгортання, налаштування та адміністрування сервісів, що забезпечують функціонування інфраструктури замовника (не обмежуючись):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Сервіс DHCP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Планування адресного простору (VLAN/блоки адрес);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Налаштування сервісів DHCP для користувачів.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оновлення програмного забезпечення;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Сервіс DNS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Планування та розгортання інфраструктури DNS 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відмовостійкому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режимі;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доменних зон для забезпечення функціонування сервісів і компонентів;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Створення та модифікація записів доменних зон;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оновлення програмного забезпечення.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Сервіс Microsoft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Active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Directory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: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Планування та розгортання інфраструктури Microsoft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Active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Directory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;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Планування простору імен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Namespace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DNS).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дизайну використання та впровадження простору імен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Namespace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Design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впровадження логічної структури інфраструктури Microsoft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Active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Directory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: лісів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Forest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 та доменних дерев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Tree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впровадження підходів до масштабування контролерів домену. 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впровадження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відмовостійкого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дизайну.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впровадження підходів до іменування об’єктів домену.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впровадження дизайну доменних імен (DNS).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впровадження взаємодії доменних імен зі сторонніми доменними серверами, делегування доменних імен.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впровадження структури організаційних одиниць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Organization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Units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).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впровадження структури користувачів, груп та ролей.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впровадження підходів до забезпечення безпеки контролерів домену та інфраструктури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Active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Directory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відповідно вимогам політик інформаційної безпеки підприємства.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структури та впровадження групових політик.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структури центрів сертифікації. 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Підключення автоматизованих робочих місць та серверів до корпоративного домену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Active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Directory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.</w:t>
            </w:r>
            <w:r/>
          </w:p>
          <w:p>
            <w:pPr>
              <w:pStyle w:val="715"/>
              <w:numPr>
                <w:ilvl w:val="2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оновлення програмного забезпечення.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Моніторинг функціонування інфраструктурних сервісів: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Отримання та обробка відомостей щодо коректності функціонування інфраструктурних сервісів;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Виявлення та усунення помилок функціонування інфраструктурних сервісів.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r>
            <w:r/>
          </w:p>
          <w:p>
            <w:pPr>
              <w:pStyle w:val="715"/>
              <w:numPr>
                <w:ilvl w:val="0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Документування: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Розробка та підтримка в актуальному стані експлуатаційної документації (таблиці, схеми, топології, інструкції, настанови, тощо). 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Документування виконаних дій;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Опис прийнятих рішень.</w:t>
            </w:r>
            <w:r/>
          </w:p>
          <w:p>
            <w:pPr>
              <w:pStyle w:val="715"/>
              <w:numPr>
                <w:ilvl w:val="1"/>
                <w:numId w:val="30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Проведення навчання представників Замовника в частині експлуатації рішення.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до якості надання Послуг (SLA) та Регламент взаємодії 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наданні Послуги з технічної підтримки та обслуговування ІКС 112.</w:t>
      </w:r>
      <w:r/>
    </w:p>
    <w:p>
      <w:pPr>
        <w:ind w:left="540" w:hanging="540"/>
        <w:jc w:val="both"/>
        <w:spacing w:before="120" w:after="0" w:line="240" w:lineRule="auto"/>
        <w:tabs>
          <w:tab w:val="num" w:pos="27" w:leader="none"/>
          <w:tab w:val="num" w:pos="54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Прийом, реєстрація та контроль звернень Замовника</w:t>
      </w:r>
      <w:r/>
    </w:p>
    <w:p>
      <w:pPr>
        <w:jc w:val="both"/>
        <w:spacing w:after="0" w:line="240" w:lineRule="auto"/>
        <w:tabs>
          <w:tab w:val="left" w:pos="9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Послуги надаються на основі прийнятих звернень Замовника.</w:t>
      </w:r>
      <w:r/>
    </w:p>
    <w:p>
      <w:pPr>
        <w:jc w:val="both"/>
        <w:spacing w:after="0" w:line="240" w:lineRule="auto"/>
        <w:tabs>
          <w:tab w:val="left" w:pos="9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Звернення приймаються Виконавцем від уповноважених осіб Замовника одним з наступних способів:</w:t>
      </w:r>
      <w:r/>
    </w:p>
    <w:p>
      <w:pPr>
        <w:numPr>
          <w:ilvl w:val="2"/>
          <w:numId w:val="31"/>
        </w:numPr>
        <w:ind w:left="993" w:hanging="28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систему управління зверненнями Виконавця (першочерговий та пріоритетний спосіб передачі звернень);</w:t>
      </w:r>
      <w:r/>
    </w:p>
    <w:p>
      <w:pPr>
        <w:numPr>
          <w:ilvl w:val="2"/>
          <w:numId w:val="31"/>
        </w:numPr>
        <w:ind w:left="993" w:hanging="28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електронній пошті на адресу Виконавця (у разі недоступності системи управління зверненнями);</w:t>
      </w:r>
      <w:r/>
    </w:p>
    <w:p>
      <w:pPr>
        <w:numPr>
          <w:ilvl w:val="2"/>
          <w:numId w:val="31"/>
        </w:numPr>
        <w:ind w:left="993" w:hanging="28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телефону цілодобової служби підтримки Виконавця (у разі звернень першого пріоритету та/або звернень у неробочий час);</w:t>
      </w:r>
      <w:r/>
    </w:p>
    <w:p>
      <w:pPr>
        <w:numPr>
          <w:ilvl w:val="2"/>
          <w:numId w:val="31"/>
        </w:numPr>
        <w:ind w:left="993" w:hanging="28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телефону відповідальних інженерів Виконавця (у разі недоступності усіх інших засобів).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 час отримання відповідного Звернення від Замовника, Виконавець повинен присвоїти такому зверненню відповідний номер, повідомивши про це негайно Замовника.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Замовник при поданні звернення в неробочий час (час поза межами інтервалу 9.00-18.00 по робочих днях) повинен продублювати його телефоном. В іншому випадку звернення може бути прийнятим тільки в 9.00 наступного робочого дня.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поданні звернення уповноважений представник Замовника повинен повідомити наступні дані: </w:t>
      </w:r>
      <w:r/>
    </w:p>
    <w:p>
      <w:pPr>
        <w:numPr>
          <w:ilvl w:val="2"/>
          <w:numId w:val="31"/>
        </w:numPr>
        <w:ind w:left="993" w:hanging="28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Договору, згідно якого подається звернення та адресу експлуатації </w:t>
      </w:r>
      <w:r>
        <w:rPr>
          <w:rFonts w:ascii="Times New Roman" w:hAnsi="Times New Roman" w:eastAsia="Calibri" w:cs="Times New Roman"/>
          <w:sz w:val="24"/>
          <w:szCs w:val="24"/>
        </w:rPr>
        <w:t xml:space="preserve">ІКС 112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numPr>
          <w:ilvl w:val="2"/>
          <w:numId w:val="31"/>
        </w:numPr>
        <w:ind w:left="993" w:hanging="28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контактні дані представника Замовника, з яким повинен контактувати інженер Виконавця при вирішенні питання за зверненням;</w:t>
      </w:r>
      <w:r/>
    </w:p>
    <w:p>
      <w:pPr>
        <w:numPr>
          <w:ilvl w:val="2"/>
          <w:numId w:val="31"/>
        </w:numPr>
        <w:ind w:left="993" w:hanging="28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пріоритет звернення (згідно з визначенням пріоритетів);</w:t>
      </w:r>
      <w:r/>
    </w:p>
    <w:p>
      <w:pPr>
        <w:numPr>
          <w:ilvl w:val="2"/>
          <w:numId w:val="31"/>
        </w:numPr>
        <w:ind w:left="993" w:hanging="284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детальний опис проблеми або діагностичну інформацію.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Після усуненн</w:t>
      </w:r>
      <w:r>
        <w:rPr>
          <w:rFonts w:ascii="Times New Roman" w:hAnsi="Times New Roman" w:cs="Times New Roman"/>
          <w:sz w:val="24"/>
          <w:szCs w:val="24"/>
        </w:rPr>
        <w:t xml:space="preserve">я проблеми або виконання всіх умов за зверненням, Виконавець інформує Замовника для отримання підтвердження вирішення питання. У випадку, якщо Замовник протягом 5 (п’яти) робочих днів не надіслав відповідь-підтвердження, звернення закривається автоматично.</w:t>
      </w:r>
      <w:r/>
    </w:p>
    <w:p>
      <w:pPr>
        <w:spacing w:before="240"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Пріоритети Звернень</w:t>
      </w:r>
      <w:r/>
    </w:p>
    <w:tbl>
      <w:tblPr>
        <w:tblW w:w="5000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57"/>
        <w:gridCol w:w="7470"/>
      </w:tblGrid>
      <w:tr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Пріоритет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Опис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Пріоритет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1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Критичний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Повністю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непрацездатні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складові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критичної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важливості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</w:t>
            </w:r>
            <w:r/>
          </w:p>
          <w:p>
            <w:pPr>
              <w:numPr>
                <w:ilvl w:val="0"/>
                <w:numId w:val="32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Маршрутизація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викликів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черги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операторів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(VGW, CUBE, CUCM, ICM)</w:t>
            </w:r>
            <w:r/>
          </w:p>
          <w:p>
            <w:pPr>
              <w:numPr>
                <w:ilvl w:val="0"/>
                <w:numId w:val="32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Голосовий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портал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обслуговування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(CVP)</w:t>
            </w:r>
            <w:r/>
          </w:p>
          <w:p>
            <w:pPr>
              <w:numPr>
                <w:ilvl w:val="0"/>
                <w:numId w:val="32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Гіперконвергентний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обчислювальний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кластер DELL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VxRail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/>
          </w:p>
          <w:p>
            <w:pPr>
              <w:numPr>
                <w:ilvl w:val="0"/>
                <w:numId w:val="32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СЗД DELL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PowerScale</w:t>
            </w:r>
            <w:r/>
          </w:p>
          <w:p>
            <w:pPr>
              <w:numPr>
                <w:ilvl w:val="0"/>
                <w:numId w:val="32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СРК DELL IDPA 4400</w:t>
            </w:r>
            <w:r/>
          </w:p>
          <w:p>
            <w:pPr>
              <w:numPr>
                <w:ilvl w:val="0"/>
                <w:numId w:val="32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Мережеве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обладнання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Cisco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Firepower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2120, DELL S5248, DELL S3148, Cisco Catalyst C9300, Cisco Catalyst C9200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Пріоритет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2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Критичний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Повністю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непрацездатні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складові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критичної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важливості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</w:t>
            </w:r>
            <w:r/>
          </w:p>
          <w:p>
            <w:pPr>
              <w:numPr>
                <w:ilvl w:val="0"/>
                <w:numId w:val="32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Finesse</w:t>
            </w:r>
            <w:r/>
          </w:p>
          <w:p>
            <w:pPr>
              <w:numPr>
                <w:ilvl w:val="0"/>
                <w:numId w:val="32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Video-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дзвінок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Smiddle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Пріоритет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3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Високий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Повністю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непрацездатні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окремі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високої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важливості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</w:t>
            </w:r>
            <w:r/>
          </w:p>
          <w:p>
            <w:pPr>
              <w:numPr>
                <w:ilvl w:val="0"/>
                <w:numId w:val="33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запису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розмов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Eleveo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recording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</w:t>
            </w:r>
            <w:r/>
          </w:p>
          <w:p>
            <w:pPr>
              <w:numPr>
                <w:ilvl w:val="0"/>
                <w:numId w:val="33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Speech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Analytics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Ender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Turing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</w:t>
            </w:r>
            <w:r/>
          </w:p>
          <w:p>
            <w:pPr>
              <w:numPr>
                <w:ilvl w:val="0"/>
                <w:numId w:val="33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Outbound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Dialer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Або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непрацездатність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критичної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важливості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Пріоритет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4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Середній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Працездатність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інших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погіршилася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або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супроводжується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періодичні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помилками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роботі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які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свою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чергу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викликали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порушення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працездатності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зокрема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</w:t>
            </w:r>
            <w:r/>
          </w:p>
          <w:p>
            <w:pPr>
              <w:numPr>
                <w:ilvl w:val="0"/>
                <w:numId w:val="34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CUIC </w:t>
            </w:r>
            <w:r/>
          </w:p>
          <w:p>
            <w:pPr>
              <w:numPr>
                <w:ilvl w:val="0"/>
                <w:numId w:val="34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ECE</w:t>
            </w:r>
            <w:r/>
          </w:p>
          <w:p>
            <w:pPr>
              <w:numPr>
                <w:ilvl w:val="0"/>
                <w:numId w:val="34"/>
              </w:numPr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Інтеграція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сторонніми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системами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Замовника</w:t>
            </w:r>
            <w:r/>
          </w:p>
        </w:tc>
      </w:tr>
      <w:tr>
        <w:trPr>
          <w:trHeight w:val="5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Пріоритет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5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Низький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Звернення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щодо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стосовно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також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звернення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розвитку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окремих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ІКС 112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 надання Послуг, час реакції відповідно до Пріоритету Звернення</w:t>
      </w:r>
      <w:r/>
    </w:p>
    <w:tbl>
      <w:tblPr>
        <w:tblW w:w="4063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2300"/>
        <w:gridCol w:w="1939"/>
        <w:gridCol w:w="1843"/>
      </w:tblGrid>
      <w:tr>
        <w:trPr/>
        <w:tc>
          <w:tcPr>
            <w:shd w:val="clear" w:color="auto" w:fill="d9d9d9" w:themeFill="background1" w:themeFillShade="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31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Пріоритет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Час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підтримки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реакції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робочих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годин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відновлення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працездатності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 * 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* 7 (з 9 до 18)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* 5 (з 9 до 18)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* 5 (з 9 до 18)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* 5 (з 9 до 18)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NBD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домовленістю</w:t>
            </w:r>
            <w:r/>
          </w:p>
        </w:tc>
      </w:tr>
    </w:tbl>
    <w:p>
      <w:pPr>
        <w:jc w:val="both"/>
        <w:spacing w:before="240"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Надання Послуг, що пов’язані із попередньо запланованими перервами в функціонуванні ІКС 112 або окремих його складових, здійснюється в письмово погоджений Сторонами час.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Перевищення терміну відновлення працездатності ІКС 112 не враховується, якщо така непрацездатність була викликана діями технічних спеціалістів (адміністраторів) Замовника, помилками у програмному забезпече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нні виробника/вендора, мережевими та/або інфраструктурними неполадками в місцях експлуатації ІКС 112, поломками обладнання, що входить до складу ІКС 112, інтеграцією з інформаційними системами та ПЗ, що не входять до складу ІКС 112, діями третіх осіб тощо.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У разі отримання звернення Виконавець зобов’язаний приступити до усунення проблеми у відповідності до цільового часу реакції та зробити все можливе для відновлення працездатності ІКС 112 незалежно від причин виникнення інциденту. </w:t>
      </w:r>
      <w:r/>
    </w:p>
    <w:p>
      <w:pPr>
        <w:pStyle w:val="715"/>
        <w:ind w:left="0" w:firstLine="567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Учасник якого визначено переможцем процедури закупівлі, перед укладанням договору проводить експертизу та/або експертну оцінку та/або незалежну оцінку вартості послуг, за ре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зультатом аукціону, вказаних в Додатку 5 до тендерної документації та надає Замовнику документ що підтверджує вартість вказаних послуг. У разі надання документу де вартість послуг буде нижча ніж зазначив Учасник за результатом аукціону, Учасник-Переможець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укладає разом із договором додаткову угоду на зменшення вартості за одиницю послуг (надати у складі тендерної документації гарантійний лист).</w:t>
      </w:r>
      <w:r/>
    </w:p>
    <w:p>
      <w:pPr>
        <w:pStyle w:val="715"/>
        <w:ind w:left="0" w:firstLine="567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у складі тендерної пропозиції довідку у довільній формі, що містить інформацію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наявну службу підтримки 24х7 та Спеціалізоване програмне забезпечення з автоматизації процесу створення та обробки клієнтських звернень.</w:t>
      </w:r>
      <w:r/>
    </w:p>
    <w:p>
      <w:pPr>
        <w:pStyle w:val="715"/>
        <w:ind w:left="5"/>
        <w:jc w:val="both"/>
        <w:spacing w:before="6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у складі тендерної пропозиції копії Сертифікатів, Партнерських угод або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Авторизаційних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листів з виробниками ПЗ, що підтверджують наявні/діючі спеціалізації та партнерські відносини:</w:t>
      </w:r>
      <w:r/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Advanced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Collaboration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Architecture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Specialized</w:t>
      </w:r>
      <w:r/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Advanced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Unified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Enterprise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Specialized</w:t>
      </w:r>
      <w:r/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Integrator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Partner</w:t>
      </w:r>
      <w:r/>
    </w:p>
    <w:p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Partner</w:t>
      </w:r>
      <w:r/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Smiddle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Partner</w:t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5 418 480,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п’ять мільйонів чотириста вісімнадцять тисяч чотириста вісімдесят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5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493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493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9"/>
  </w:num>
  <w:num w:numId="5">
    <w:abstractNumId w:val="6"/>
  </w:num>
  <w:num w:numId="6">
    <w:abstractNumId w:val="26"/>
  </w:num>
  <w:num w:numId="7">
    <w:abstractNumId w:val="10"/>
  </w:num>
  <w:num w:numId="8">
    <w:abstractNumId w:val="30"/>
  </w:num>
  <w:num w:numId="9">
    <w:abstractNumId w:val="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8"/>
  </w:num>
  <w:num w:numId="17">
    <w:abstractNumId w:val="0"/>
  </w:num>
  <w:num w:numId="18">
    <w:abstractNumId w:val="31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9"/>
  </w:num>
  <w:num w:numId="33">
    <w:abstractNumId w:val="2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0"/>
    <w:next w:val="71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2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2"/>
    <w:link w:val="711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0"/>
    <w:next w:val="71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2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0"/>
    <w:next w:val="71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2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0"/>
    <w:next w:val="71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2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0"/>
    <w:next w:val="71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2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0"/>
    <w:next w:val="71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0"/>
    <w:next w:val="71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0"/>
    <w:next w:val="71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2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0"/>
    <w:next w:val="71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2"/>
    <w:link w:val="33"/>
    <w:uiPriority w:val="10"/>
    <w:rPr>
      <w:sz w:val="48"/>
      <w:szCs w:val="48"/>
    </w:rPr>
  </w:style>
  <w:style w:type="paragraph" w:styleId="35">
    <w:name w:val="Subtitle"/>
    <w:basedOn w:val="710"/>
    <w:next w:val="71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2"/>
    <w:link w:val="35"/>
    <w:uiPriority w:val="11"/>
    <w:rPr>
      <w:sz w:val="24"/>
      <w:szCs w:val="24"/>
    </w:rPr>
  </w:style>
  <w:style w:type="paragraph" w:styleId="37">
    <w:name w:val="Quote"/>
    <w:basedOn w:val="710"/>
    <w:next w:val="71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0"/>
    <w:next w:val="71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2"/>
    <w:link w:val="41"/>
    <w:uiPriority w:val="99"/>
  </w:style>
  <w:style w:type="character" w:styleId="44">
    <w:name w:val="Footer Char"/>
    <w:basedOn w:val="712"/>
    <w:link w:val="721"/>
    <w:uiPriority w:val="99"/>
  </w:style>
  <w:style w:type="paragraph" w:styleId="45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1"/>
    <w:uiPriority w:val="99"/>
  </w:style>
  <w:style w:type="table" w:styleId="48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2"/>
    <w:uiPriority w:val="99"/>
    <w:unhideWhenUsed/>
    <w:rPr>
      <w:vertAlign w:val="superscript"/>
    </w:rPr>
  </w:style>
  <w:style w:type="paragraph" w:styleId="177">
    <w:name w:val="endnote text"/>
    <w:basedOn w:val="71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2"/>
    <w:uiPriority w:val="99"/>
    <w:semiHidden/>
    <w:unhideWhenUsed/>
    <w:rPr>
      <w:vertAlign w:val="superscript"/>
    </w:rPr>
  </w:style>
  <w:style w:type="paragraph" w:styleId="180">
    <w:name w:val="toc 1"/>
    <w:basedOn w:val="710"/>
    <w:next w:val="71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0"/>
    <w:next w:val="71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0"/>
    <w:next w:val="71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0"/>
    <w:next w:val="71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0"/>
    <w:next w:val="71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0"/>
    <w:next w:val="71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0"/>
    <w:next w:val="71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0"/>
    <w:next w:val="71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0"/>
    <w:next w:val="71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0"/>
    <w:next w:val="710"/>
    <w:uiPriority w:val="99"/>
    <w:unhideWhenUsed/>
    <w:pPr>
      <w:spacing w:after="0" w:afterAutospacing="0"/>
    </w:pPr>
  </w:style>
  <w:style w:type="paragraph" w:styleId="710" w:default="1">
    <w:name w:val="Normal"/>
    <w:qFormat/>
    <w:rPr>
      <w:lang w:val="uk-UA"/>
    </w:rPr>
  </w:style>
  <w:style w:type="paragraph" w:styleId="711">
    <w:name w:val="Heading 2"/>
    <w:basedOn w:val="710"/>
    <w:link w:val="73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paragraph" w:styleId="715">
    <w:name w:val="List Paragraph"/>
    <w:basedOn w:val="710"/>
    <w:link w:val="71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6" w:customStyle="1">
    <w:name w:val="Абзац списку Знак"/>
    <w:link w:val="715"/>
    <w:uiPriority w:val="34"/>
    <w:qFormat/>
    <w:rPr>
      <w:rFonts w:ascii="Calibri" w:hAnsi="Calibri" w:eastAsia="Calibri" w:cs="Calibri"/>
      <w:lang w:eastAsia="zh-CN"/>
    </w:rPr>
  </w:style>
  <w:style w:type="table" w:styleId="717">
    <w:name w:val="Table Grid"/>
    <w:basedOn w:val="7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8" w:customStyle="1">
    <w:name w:val="Сетка таблицы2"/>
    <w:basedOn w:val="713"/>
    <w:next w:val="717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9">
    <w:name w:val="Normal (Web)"/>
    <w:basedOn w:val="710"/>
    <w:link w:val="726"/>
    <w:unhideWhenUsed/>
    <w:qFormat/>
    <w:rPr>
      <w:rFonts w:ascii="Times New Roman" w:hAnsi="Times New Roman" w:cs="Times New Roman"/>
      <w:sz w:val="24"/>
      <w:szCs w:val="24"/>
    </w:rPr>
  </w:style>
  <w:style w:type="table" w:styleId="720" w:customStyle="1">
    <w:name w:val="Сетка таблицы1"/>
    <w:basedOn w:val="713"/>
    <w:next w:val="717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1">
    <w:name w:val="Footer"/>
    <w:basedOn w:val="710"/>
    <w:link w:val="722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2" w:customStyle="1">
    <w:name w:val="Нижній колонтитул Знак"/>
    <w:basedOn w:val="712"/>
    <w:link w:val="721"/>
    <w:uiPriority w:val="99"/>
    <w:rPr>
      <w:rFonts w:ascii="Calibri" w:hAnsi="Calibri" w:eastAsia="Calibri" w:cs="Calibri"/>
      <w:lang w:eastAsia="zh-CN"/>
    </w:rPr>
  </w:style>
  <w:style w:type="paragraph" w:styleId="723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4">
    <w:name w:val="Hyperlink"/>
    <w:basedOn w:val="712"/>
    <w:uiPriority w:val="99"/>
    <w:unhideWhenUsed/>
    <w:rPr>
      <w:color w:val="0563c1" w:themeColor="hyperlink"/>
      <w:u w:val="single"/>
    </w:rPr>
  </w:style>
  <w:style w:type="character" w:styleId="725" w:customStyle="1">
    <w:name w:val="xfm_93972720"/>
    <w:basedOn w:val="712"/>
  </w:style>
  <w:style w:type="character" w:styleId="726" w:customStyle="1">
    <w:name w:val="Звичайний (веб) Знак"/>
    <w:link w:val="719"/>
    <w:qFormat/>
    <w:rPr>
      <w:rFonts w:ascii="Times New Roman" w:hAnsi="Times New Roman" w:cs="Times New Roman"/>
      <w:sz w:val="24"/>
      <w:szCs w:val="24"/>
      <w:lang w:val="uk-UA"/>
    </w:rPr>
  </w:style>
  <w:style w:type="paragraph" w:styleId="727">
    <w:name w:val="Body Text 2"/>
    <w:basedOn w:val="710"/>
    <w:link w:val="728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8" w:customStyle="1">
    <w:name w:val="Основний текст 2 Знак"/>
    <w:basedOn w:val="712"/>
    <w:link w:val="72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9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0" w:customStyle="1">
    <w:name w:val="Заголовок 2 Знак"/>
    <w:basedOn w:val="712"/>
    <w:link w:val="711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1">
    <w:name w:val="No Spacing"/>
    <w:link w:val="732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2" w:customStyle="1">
    <w:name w:val="Без інтервалів Знак"/>
    <w:basedOn w:val="712"/>
    <w:link w:val="731"/>
    <w:uiPriority w:val="1"/>
    <w:rPr>
      <w:rFonts w:ascii="Calibri" w:hAnsi="Calibri" w:eastAsia="Calibri" w:cs="Times New Roman"/>
      <w:lang w:val="uk-UA"/>
    </w:rPr>
  </w:style>
  <w:style w:type="character" w:styleId="733" w:customStyle="1">
    <w:name w:val="Другое_"/>
    <w:basedOn w:val="712"/>
    <w:link w:val="734"/>
    <w:rPr>
      <w:rFonts w:ascii="Calibri" w:hAnsi="Calibri" w:eastAsia="Calibri" w:cs="Calibri"/>
      <w:sz w:val="20"/>
      <w:szCs w:val="20"/>
    </w:rPr>
  </w:style>
  <w:style w:type="paragraph" w:styleId="734" w:customStyle="1">
    <w:name w:val="Другое"/>
    <w:basedOn w:val="710"/>
    <w:link w:val="733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5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6" w:customStyle="1">
    <w:name w:val="Основной текст (2)_"/>
    <w:basedOn w:val="712"/>
    <w:link w:val="737"/>
    <w:rPr>
      <w:rFonts w:eastAsia="Times New Roman" w:cs="Times New Roman"/>
      <w:shd w:val="clear" w:color="auto" w:fill="ffffff"/>
    </w:rPr>
  </w:style>
  <w:style w:type="paragraph" w:styleId="737" w:customStyle="1">
    <w:name w:val="Основной текст (2)"/>
    <w:basedOn w:val="710"/>
    <w:link w:val="736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8" w:customStyle="1">
    <w:name w:val="Текст у виносці Знак"/>
    <w:basedOn w:val="712"/>
    <w:link w:val="73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9">
    <w:name w:val="Balloon Text"/>
    <w:basedOn w:val="710"/>
    <w:link w:val="738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0" w:customStyle="1">
    <w:name w:val="Текст у виносці Знак1"/>
    <w:basedOn w:val="712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1" w:customStyle="1">
    <w:name w:val="T23"/>
    <w:rPr>
      <w:rFonts w:hint="default" w:ascii="Times New Roman" w:hAnsi="Times New Roman" w:eastAsia="Times New Roman1" w:cs="Times New Roman"/>
    </w:rPr>
  </w:style>
  <w:style w:type="paragraph" w:styleId="742" w:customStyle="1">
    <w:name w:val="Абзац списку1"/>
    <w:basedOn w:val="710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2023-10-06T14:08:02Z</dcterms:modified>
</cp:coreProperties>
</file>