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24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pacing w:val="1"/>
          <w:sz w:val="24"/>
          <w:szCs w:val="24"/>
        </w:rPr>
        <w:t xml:space="preserve">Послуги з організації та доступу до каналів передачі даних за код ДК 021:2015 64210000-1 «</w:t>
      </w:r>
      <w:r>
        <w:rPr>
          <w:b w:val="0"/>
          <w:bCs w:val="0"/>
          <w:sz w:val="24"/>
          <w:szCs w:val="24"/>
        </w:rPr>
        <w:t xml:space="preserve">Послуги телефонного зв’язку та передачі даних</w:t>
      </w:r>
      <w:r>
        <w:rPr>
          <w:b w:val="0"/>
          <w:bCs w:val="0"/>
          <w:spacing w:val="1"/>
          <w:sz w:val="24"/>
          <w:szCs w:val="24"/>
        </w:rPr>
        <w:t xml:space="preserve">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2792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Послуги з організації та доступу до каналів передачі даних за код ДК 021:2015 64210000-1 «</w:t>
      </w:r>
      <w:r>
        <w:rPr>
          <w:rFonts w:ascii="Times New Roman" w:hAnsi="Times New Roman" w:cs="Times New Roman"/>
          <w:sz w:val="24"/>
          <w:szCs w:val="24"/>
        </w:rPr>
        <w:t xml:space="preserve">Послуги телефонного зв’язку та передачі даних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»</w:t>
      </w:r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pStyle w:val="724"/>
        <w:spacing w:before="0" w:beforeAutospacing="0" w:after="0" w:afterAutospacing="0"/>
        <w:shd w:val="clear" w:color="auto" w:fill="ffffff" w:themeFill="background1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Перелік каналів передачі даних підключення (очікувана потреба станом на 01.05.2024):</w:t>
      </w:r>
      <w:r/>
    </w:p>
    <w:tbl>
      <w:tblPr>
        <w:tblW w:w="1020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4"/>
        <w:gridCol w:w="7099"/>
        <w:gridCol w:w="21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зп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Регіон/Швидкість підключення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/>
            <w:bookmarkStart w:id="0" w:name="_Hlk156823506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Київська обл.</w:t>
            </w:r>
            <w:bookmarkEnd w:id="0"/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Вузли зі швидкістю підключення 5Мб/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Чернігівська обл.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Вузли зі швидкістю підключення 5Мб/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Черкаська обл.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Вузли зі швидкістю підключення 5Мб/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Львівська обл.</w:t>
            </w:r>
            <w:r/>
          </w:p>
        </w:tc>
      </w:tr>
      <w:tr>
        <w:trPr>
          <w:trHeight w:val="1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Вузли зі швидкістю підключення 5Мб/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Івано-Франківська обл.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Вузли зі швидкістю підключення 5Мб/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Чернівецька обл.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Вузли зі швидкістю підключення 5Мб/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4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Волинська обл.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Вузли зі швидкістю підключення 5Мб/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spacing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/>
      <w:bookmarkStart w:id="1" w:name="_Hlk141713597"/>
      <w:r/>
      <w:r/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ТЕХНІЧНІ ВИМОГИ</w:t>
      </w:r>
      <w:r/>
    </w:p>
    <w:tbl>
      <w:tblPr>
        <w:tblW w:w="10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5219"/>
        <w:gridCol w:w="2410"/>
        <w:gridCol w:w="1978"/>
      </w:tblGrid>
      <w:tr>
        <w:trPr>
          <w:jc w:val="center"/>
          <w:trHeight w:val="8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послуги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jc w:val="center"/>
          <w:trHeight w:val="5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Використання каналів передачі даних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</w:t>
            </w:r>
            <w:r/>
          </w:p>
        </w:tc>
      </w:tr>
    </w:tbl>
    <w:p>
      <w:pPr>
        <w:ind w:right="-79" w:firstLine="426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/>
    </w:p>
    <w:p>
      <w:pPr>
        <w:pStyle w:val="730"/>
        <w:ind w:left="0"/>
        <w:jc w:val="center"/>
        <w:spacing w:before="120" w:after="6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Технічні та якісні характеристики</w:t>
      </w:r>
      <w:r/>
    </w:p>
    <w:p>
      <w:pPr>
        <w:pStyle w:val="767"/>
        <w:numPr>
          <w:ilvl w:val="0"/>
          <w:numId w:val="37"/>
        </w:numPr>
        <w:jc w:val="both"/>
        <w:spacing w:before="0" w:beforeAutospacing="0" w:after="60" w:afterAutospacing="0"/>
        <w:shd w:val="clear" w:color="auto" w:fill="ffffff"/>
        <w:rPr>
          <w:lang w:val="uk-UA"/>
        </w:rPr>
      </w:pPr>
      <w:r>
        <w:rPr>
          <w:lang w:val="uk-UA"/>
        </w:rPr>
        <w:t xml:space="preserve">Обсяг надання послуги:</w:t>
      </w:r>
      <w:r/>
    </w:p>
    <w:p>
      <w:pPr>
        <w:pStyle w:val="767"/>
        <w:numPr>
          <w:ilvl w:val="0"/>
          <w:numId w:val="38"/>
        </w:numPr>
        <w:ind w:left="0" w:firstLine="567"/>
        <w:jc w:val="both"/>
        <w:spacing w:before="0" w:beforeAutospacing="0" w:after="60" w:afterAutospacing="0"/>
        <w:shd w:val="clear" w:color="auto" w:fill="ffffff"/>
        <w:rPr>
          <w:lang w:val="uk-UA"/>
        </w:rPr>
      </w:pPr>
      <w:r>
        <w:t xml:space="preserve">Організація</w:t>
      </w:r>
      <w:r>
        <w:rPr>
          <w:lang w:val="uk-UA"/>
        </w:rPr>
        <w:t xml:space="preserve"> </w:t>
      </w:r>
      <w:r>
        <w:t xml:space="preserve">канал</w:t>
      </w:r>
      <w:r>
        <w:rPr>
          <w:lang w:val="uk-UA"/>
        </w:rPr>
        <w:t xml:space="preserve">ів</w:t>
      </w:r>
      <w:r>
        <w:t xml:space="preserve"> </w:t>
      </w:r>
      <w:r>
        <w:t xml:space="preserve">передачі</w:t>
      </w:r>
      <w:r>
        <w:t xml:space="preserve"> </w:t>
      </w:r>
      <w:r>
        <w:t xml:space="preserve">даних</w:t>
      </w:r>
      <w:r>
        <w:t xml:space="preserve"> на </w:t>
      </w:r>
      <w:r>
        <w:t xml:space="preserve">швидкості</w:t>
      </w:r>
      <w:r>
        <w:t xml:space="preserve"> 5 </w:t>
      </w:r>
      <w:r>
        <w:t xml:space="preserve">Мбіт</w:t>
      </w:r>
      <w:r>
        <w:t xml:space="preserve">/с </w:t>
      </w:r>
      <w:r>
        <w:t xml:space="preserve">між</w:t>
      </w:r>
      <w:r>
        <w:t xml:space="preserve"> </w:t>
      </w:r>
      <w:r>
        <w:t xml:space="preserve">будівлями</w:t>
      </w:r>
      <w:r>
        <w:t xml:space="preserve"> </w:t>
      </w:r>
      <w:r>
        <w:rPr>
          <w:lang w:val="uk-UA"/>
        </w:rPr>
        <w:t xml:space="preserve">– 7 шт.</w:t>
      </w:r>
      <w:r>
        <w:t xml:space="preserve">, з </w:t>
      </w:r>
      <w:r>
        <w:t xml:space="preserve">подальшим</w:t>
      </w:r>
      <w:r>
        <w:t xml:space="preserve"> </w:t>
      </w:r>
      <w:r>
        <w:t xml:space="preserve">наданням</w:t>
      </w:r>
      <w:r>
        <w:t xml:space="preserve"> у </w:t>
      </w:r>
      <w:r>
        <w:t xml:space="preserve">користування</w:t>
      </w:r>
      <w:r>
        <w:t xml:space="preserve"> ц</w:t>
      </w:r>
      <w:r>
        <w:rPr>
          <w:lang w:val="uk-UA"/>
        </w:rPr>
        <w:t xml:space="preserve">их</w:t>
      </w:r>
      <w:r>
        <w:t xml:space="preserve"> канал</w:t>
      </w:r>
      <w:r>
        <w:rPr>
          <w:lang w:val="uk-UA"/>
        </w:rPr>
        <w:t xml:space="preserve">ів</w:t>
      </w:r>
      <w:r>
        <w:t xml:space="preserve"> </w:t>
      </w:r>
      <w:r>
        <w:t xml:space="preserve">передачі</w:t>
      </w:r>
      <w:r>
        <w:t xml:space="preserve"> </w:t>
      </w:r>
      <w:r>
        <w:t xml:space="preserve">даних</w:t>
      </w:r>
      <w:r>
        <w:rPr>
          <w:lang w:val="uk-UA"/>
        </w:rPr>
        <w:t xml:space="preserve">;</w:t>
      </w:r>
      <w:r/>
    </w:p>
    <w:p>
      <w:pPr>
        <w:pStyle w:val="730"/>
        <w:numPr>
          <w:ilvl w:val="0"/>
          <w:numId w:val="39"/>
        </w:numPr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цілодобова доступність каналів передачі даних для користування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</w:t>
      </w:r>
      <w:r/>
    </w:p>
    <w:p>
      <w:pPr>
        <w:pStyle w:val="730"/>
        <w:numPr>
          <w:ilvl w:val="0"/>
          <w:numId w:val="39"/>
        </w:numPr>
        <w:ind w:left="0" w:firstLine="567"/>
        <w:jc w:val="both"/>
        <w:spacing w:after="0" w:line="240" w:lineRule="auto"/>
        <w:tabs>
          <w:tab w:val="left" w:pos="567" w:leader="none"/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цілодобова технічна підтримка користувачів щодо користування каналами передачі даних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;</w:t>
      </w:r>
      <w:r/>
    </w:p>
    <w:p>
      <w:pPr>
        <w:pStyle w:val="730"/>
        <w:numPr>
          <w:ilvl w:val="0"/>
          <w:numId w:val="39"/>
        </w:numPr>
        <w:ind w:left="0" w:firstLine="567"/>
        <w:jc w:val="both"/>
        <w:spacing w:after="6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оперативне усунення технічних проблем зі сторони Виконавця, що призводять до неможливості надання послуги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</w:t>
      </w:r>
      <w:r/>
    </w:p>
    <w:p>
      <w:pPr>
        <w:jc w:val="both"/>
        <w:spacing w:after="6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768"/>
        <w:tblW w:w="10206" w:type="dxa"/>
        <w:tblInd w:w="-289" w:type="dxa"/>
        <w:tblCellMar>
          <w:left w:w="31" w:type="dxa"/>
          <w:top w:w="89" w:type="dxa"/>
          <w:right w:w="57" w:type="dxa"/>
        </w:tblCellMar>
        <w:tblLook w:val="04A0" w:firstRow="1" w:lastRow="0" w:firstColumn="1" w:lastColumn="0" w:noHBand="0" w:noVBand="1"/>
      </w:tblPr>
      <w:tblGrid>
        <w:gridCol w:w="992"/>
        <w:gridCol w:w="6379"/>
        <w:gridCol w:w="2835"/>
      </w:tblGrid>
      <w:tr>
        <w:trPr>
          <w:trHeight w:val="8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56" w:right="33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з/ п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Найменування технічних параметрів </w:t>
            </w:r>
            <w:r/>
          </w:p>
        </w:tc>
      </w:tr>
      <w:tr>
        <w:trPr>
          <w:trHeight w:val="2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надання сервісу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24х7х365 </w:t>
            </w:r>
            <w:r/>
          </w:p>
        </w:tc>
      </w:tr>
      <w:tr>
        <w:trPr>
          <w:trHeight w:val="1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роботи служби експлуатації Оператора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24х7х365 </w:t>
            </w:r>
            <w:r/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Максимальний час для аварійної недоступності послуг (надалі – «АНП»)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24 годин </w:t>
            </w:r>
            <w:r/>
          </w:p>
        </w:tc>
      </w:tr>
      <w:tr>
        <w:trPr>
          <w:trHeight w:val="3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Повідомлення про проведення запланованої недоступності послуг (наділ – «ЗНП») за робочих днів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/>
          </w:p>
        </w:tc>
      </w:tr>
      <w:tr>
        <w:trPr>
          <w:trHeight w:val="1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Проміжок часу для проведення ЗНП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23:00-08:00 </w:t>
            </w:r>
            <w:r/>
          </w:p>
        </w:tc>
      </w:tr>
      <w:tr>
        <w:trPr>
          <w:trHeight w:val="1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textDirection w:val="lrTb"/>
            <w:noWrap w:val="false"/>
          </w:tcPr>
          <w:p>
            <w:pPr>
              <w:ind w:left="77"/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Загальний час проведення ЗНП, не більше на  місяць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год. </w:t>
            </w:r>
            <w:r/>
          </w:p>
        </w:tc>
      </w:tr>
      <w:tr>
        <w:trPr>
          <w:trHeight w:val="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тривалість ЗНП, не більше на рік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год. </w:t>
            </w:r>
            <w:r/>
          </w:p>
        </w:tc>
      </w:tr>
      <w:tr>
        <w:trPr>
          <w:trHeight w:val="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виділення окремого телефонного номеру для підтримки сервісу SLA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Ні </w:t>
            </w:r>
            <w:r/>
          </w:p>
        </w:tc>
      </w:tr>
      <w:tr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Пріоритезація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вхідних дзвінків за виділеним номером для підтримки сервісу SLA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Ні </w:t>
            </w:r>
            <w:r/>
          </w:p>
        </w:tc>
      </w:tr>
      <w:tr>
        <w:trPr>
          <w:trHeight w:val="3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textDirection w:val="lrTb"/>
            <w:noWrap w:val="false"/>
          </w:tcPr>
          <w:p>
            <w:pPr>
              <w:ind w:left="77" w:right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виділення персонального співробітника служби технічної підтримки для підтримки сервісу SLA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Ні </w:t>
            </w:r>
            <w:r/>
          </w:p>
        </w:tc>
      </w:tr>
      <w:tr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Реагування служби технічної підтримки на звернення Абонента, не пізніше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год. </w:t>
            </w:r>
            <w:r/>
          </w:p>
        </w:tc>
      </w:tr>
      <w:tr>
        <w:trPr>
          <w:trHeight w:val="4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Повідомлення щодо відновлення  доступності послуг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подією </w:t>
            </w:r>
            <w:r/>
          </w:p>
        </w:tc>
      </w:tr>
    </w:tbl>
    <w:p>
      <w:pPr>
        <w:ind w:right="-79" w:firstLine="426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79" w:firstLine="426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 Строк надання послуги – з 01.05.2024 до 31.12.2024 року</w:t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30"/>
        <w:numPr>
          <w:ilvl w:val="0"/>
          <w:numId w:val="40"/>
        </w:num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Послуга надається з метою організації каналу передачі даних між окремо розташованими будівлями.</w:t>
      </w:r>
      <w:r/>
    </w:p>
    <w:p>
      <w:pPr>
        <w:pStyle w:val="730"/>
        <w:numPr>
          <w:ilvl w:val="0"/>
          <w:numId w:val="40"/>
        </w:num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Надати послугу для тестування не пізніше трьох днів з дати оголошення переможця закупівлі та здійснити повноцінне підключення послуги не пізніше трьох днів з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моменту підписання договору.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(надати гарантійний лист)</w:t>
      </w:r>
      <w:r/>
    </w:p>
    <w:p>
      <w:pPr>
        <w:numPr>
          <w:ilvl w:val="0"/>
          <w:numId w:val="40"/>
        </w:numPr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мати сертифікат відповідності системи управління інформаційною безпекою оператора міжнародному стандарту ISO 27001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(надати скановану копію сертифікату)</w:t>
      </w:r>
      <w:r/>
    </w:p>
    <w:p>
      <w:pPr>
        <w:numPr>
          <w:ilvl w:val="0"/>
          <w:numId w:val="40"/>
        </w:numPr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Надання Послуг повинно забезпечуватись на всіх вузлах мережі Замовника.</w:t>
      </w:r>
      <w:r/>
    </w:p>
    <w:p>
      <w:pPr>
        <w:pStyle w:val="730"/>
        <w:numPr>
          <w:ilvl w:val="0"/>
          <w:numId w:val="40"/>
        </w:num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 повинен </w:t>
      </w:r>
      <w:r>
        <w:rPr>
          <w:rFonts w:ascii="Times New Roman" w:hAnsi="Times New Roman" w:cs="Times New Roman"/>
          <w:sz w:val="24"/>
          <w:szCs w:val="24"/>
        </w:rPr>
        <w:t xml:space="preserve">організувати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Останню</w:t>
      </w:r>
      <w:r>
        <w:rPr>
          <w:rFonts w:ascii="Times New Roman" w:hAnsi="Times New Roman" w:cs="Times New Roman"/>
          <w:sz w:val="24"/>
          <w:szCs w:val="24"/>
        </w:rPr>
        <w:t xml:space="preserve"> милю </w:t>
      </w:r>
      <w:r>
        <w:rPr>
          <w:rFonts w:ascii="Times New Roman" w:hAnsi="Times New Roman" w:cs="Times New Roman"/>
          <w:sz w:val="24"/>
          <w:szCs w:val="24"/>
        </w:rPr>
        <w:t xml:space="preserve">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підключення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Замовника</w:t>
      </w:r>
      <w:r>
        <w:rPr>
          <w:rFonts w:ascii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hAnsi="Times New Roman" w:cs="Times New Roman"/>
          <w:sz w:val="24"/>
          <w:szCs w:val="24"/>
        </w:rPr>
        <w:t xml:space="preserve">використанням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власної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оптичної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мережі</w:t>
      </w:r>
      <w:r>
        <w:rPr>
          <w:rFonts w:ascii="Times New Roman" w:hAnsi="Times New Roman" w:cs="Times New Roman"/>
          <w:sz w:val="24"/>
          <w:szCs w:val="24"/>
        </w:rPr>
        <w:t xml:space="preserve">, яка повинна бути </w:t>
      </w:r>
      <w:r>
        <w:rPr>
          <w:rFonts w:ascii="Times New Roman" w:hAnsi="Times New Roman" w:cs="Times New Roman"/>
          <w:sz w:val="24"/>
          <w:szCs w:val="24"/>
        </w:rPr>
        <w:t xml:space="preserve">організована</w:t>
      </w:r>
      <w:r>
        <w:rPr>
          <w:rFonts w:ascii="Times New Roman" w:hAnsi="Times New Roman" w:cs="Times New Roman"/>
          <w:sz w:val="24"/>
          <w:szCs w:val="24"/>
        </w:rPr>
        <w:t xml:space="preserve"> шляхом </w:t>
      </w:r>
      <w:r>
        <w:rPr>
          <w:rFonts w:ascii="Times New Roman" w:hAnsi="Times New Roman" w:cs="Times New Roman"/>
          <w:sz w:val="24"/>
          <w:szCs w:val="24"/>
        </w:rPr>
        <w:t xml:space="preserve">прокладення</w:t>
      </w:r>
      <w:r>
        <w:rPr>
          <w:rFonts w:ascii="Times New Roman" w:hAnsi="Times New Roman" w:cs="Times New Roman"/>
          <w:sz w:val="24"/>
          <w:szCs w:val="24"/>
        </w:rPr>
        <w:t xml:space="preserve"> волоконно-</w:t>
      </w:r>
      <w:r>
        <w:rPr>
          <w:rFonts w:ascii="Times New Roman" w:hAnsi="Times New Roman" w:cs="Times New Roman"/>
          <w:sz w:val="24"/>
          <w:szCs w:val="24"/>
        </w:rPr>
        <w:t xml:space="preserve">оптичного</w:t>
      </w:r>
      <w:r>
        <w:rPr>
          <w:rFonts w:ascii="Times New Roman" w:hAnsi="Times New Roman" w:cs="Times New Roman"/>
          <w:sz w:val="24"/>
          <w:szCs w:val="24"/>
        </w:rPr>
        <w:t xml:space="preserve"> кабелю Оператора </w:t>
      </w:r>
      <w:r>
        <w:rPr>
          <w:rFonts w:ascii="Times New Roman" w:hAnsi="Times New Roman" w:cs="Times New Roman"/>
          <w:sz w:val="24"/>
          <w:szCs w:val="24"/>
        </w:rPr>
        <w:t xml:space="preserve">переважно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 xml:space="preserve">підземних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комунікаціях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власних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орендованих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разі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якщо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процедури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закупівлі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має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намір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залучити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спроможності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інших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суб’єктів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господарювання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як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співвиконавців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обсязі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не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менше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ніж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20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відсотків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від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загальної кількості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обєктів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підтвердження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його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відповідності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кваліфікаційним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критеріям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відповідно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до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частини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третьої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статті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16 Закону,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замовник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перевіряє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таких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суб’єктів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господарювання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відсутність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підстав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визначених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пункті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47 Постанови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(надати гарантійний лист)</w:t>
      </w:r>
      <w:r/>
    </w:p>
    <w:p>
      <w:pPr>
        <w:pStyle w:val="730"/>
        <w:numPr>
          <w:ilvl w:val="0"/>
          <w:numId w:val="40"/>
        </w:num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Під час укладання договору, на вимогу замовника, Учасник має надати підтверджену наявність </w:t>
      </w:r>
      <w:r>
        <w:rPr>
          <w:rFonts w:ascii="Times New Roman" w:hAnsi="Times New Roman" w:cs="Times New Roman"/>
          <w:sz w:val="24"/>
          <w:szCs w:val="24"/>
        </w:rPr>
        <w:t xml:space="preserve">технічних</w:t>
      </w:r>
      <w:r>
        <w:rPr>
          <w:rFonts w:ascii="Times New Roman" w:hAnsi="Times New Roman" w:cs="Times New Roman"/>
          <w:sz w:val="24"/>
          <w:szCs w:val="24"/>
        </w:rPr>
        <w:t xml:space="preserve"> умов для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ідключення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об’єктів у кількості не менш 80% від загальної та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артограму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траси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прокладання</w:t>
      </w:r>
      <w:r>
        <w:rPr>
          <w:rFonts w:ascii="Times New Roman" w:hAnsi="Times New Roman" w:cs="Times New Roman"/>
          <w:sz w:val="24"/>
          <w:szCs w:val="24"/>
        </w:rPr>
        <w:t xml:space="preserve"> волоконно-</w:t>
      </w:r>
      <w:r>
        <w:rPr>
          <w:rFonts w:ascii="Times New Roman" w:hAnsi="Times New Roman" w:cs="Times New Roman"/>
          <w:sz w:val="24"/>
          <w:szCs w:val="24"/>
        </w:rPr>
        <w:t xml:space="preserve">оптичного</w:t>
      </w:r>
      <w:r>
        <w:rPr>
          <w:rFonts w:ascii="Times New Roman" w:hAnsi="Times New Roman" w:cs="Times New Roman"/>
          <w:sz w:val="24"/>
          <w:szCs w:val="24"/>
        </w:rPr>
        <w:t xml:space="preserve"> кабелю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(надати гарантійний лист)</w:t>
      </w:r>
      <w:r/>
    </w:p>
    <w:p>
      <w:pPr>
        <w:numPr>
          <w:ilvl w:val="0"/>
          <w:numId w:val="40"/>
        </w:num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має бути доданий до переліку операторів Національної системи конфіденційного зв’язку (НСКЗ)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(надати підтвердження)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numPr>
          <w:ilvl w:val="0"/>
          <w:numId w:val="40"/>
        </w:num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Завірені копії Наказу та Повідомлення про включення Учасника до Переліку операторів НСКЗ, які мають право надавати наступні види діяльності: надання в користування цифрових каналів зв’язку та надання послуг захищеного доступу до мережі Інтернет.»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(надати підтвердження)</w:t>
      </w:r>
      <w:r/>
    </w:p>
    <w:p>
      <w:pPr>
        <w:numPr>
          <w:ilvl w:val="0"/>
          <w:numId w:val="40"/>
        </w:num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має забезпечити, на період дії Договору, надання послуг протягом 24 годин на добу 7 днів на тиждень.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(надати гарантійний лист).</w:t>
      </w:r>
      <w:r/>
    </w:p>
    <w:p>
      <w:pPr>
        <w:numPr>
          <w:ilvl w:val="0"/>
          <w:numId w:val="40"/>
        </w:num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 повинен забезпечити технічну підтримку Послуги, яка включає в себе постійний моніторинг каналів електронних телекомунікаційних каналів зв’язку та діагностику причин відхилення від заданих технічних характеристик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(надати гарантійний лист).</w:t>
      </w:r>
      <w:r/>
    </w:p>
    <w:p>
      <w:pPr>
        <w:pStyle w:val="730"/>
        <w:numPr>
          <w:ilvl w:val="0"/>
          <w:numId w:val="40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Виконавець повинен мати власний Центр технічної підтримки, що працює в режимі 24х7х365 (цілодобово (00:00-24:00) з понеділка по неділю включно, 365 днів на рік) з можливістю звернення по телефону або через веб-сайт, або електронну пошту).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(надати гарантійний лист)</w:t>
      </w:r>
      <w:bookmarkEnd w:id="1"/>
      <w:r/>
      <w:r/>
    </w:p>
    <w:p>
      <w:pPr>
        <w:pStyle w:val="730"/>
        <w:numPr>
          <w:ilvl w:val="0"/>
          <w:numId w:val="40"/>
        </w:numPr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Виконавець повинен мати регіональні підрозділи у кожному регіоні України де замовляється послуга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(надати гарантійний лист).</w:t>
      </w:r>
      <w:r/>
    </w:p>
    <w:p>
      <w:pPr>
        <w:pStyle w:val="730"/>
        <w:numPr>
          <w:ilvl w:val="0"/>
          <w:numId w:val="40"/>
        </w:numPr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Учасник повинен надати Довідку, що погоджується з умовами договору, та приймає їх.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Адреси між якими будуть організовуватися канали передачі даних, надаються на вимогу учасника закупівлі, у зв’язку з тим, що зазначені відомості становлять службову інформацію відповідно до розділу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IV</w:t>
      </w:r>
      <w:r>
        <w:rPr>
          <w:rFonts w:ascii="Times New Roman" w:hAnsi="Times New Roman" w:cs="Times New Roman"/>
          <w:sz w:val="24"/>
          <w:szCs w:val="24"/>
        </w:rPr>
        <w:t xml:space="preserve"> Переліку відомостей, що становлять службову інформацію в Міністерстві внутрішніх справ України, затвердженому наказом Міністерства внутрішніх справ України від 12 липня 2023 року № 573.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бюджет України 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394 192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триста дев’яносто дві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тисячі сто дев’яносто дві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-3455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-273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-201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-1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-57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14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86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58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2305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5321" w:hanging="360"/>
      </w:pPr>
      <w:rPr>
        <w:rFonts w:hint="default" w:ascii="Times New Roman" w:hAnsi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1"/>
  </w:num>
  <w:num w:numId="2">
    <w:abstractNumId w:val="18"/>
  </w:num>
  <w:num w:numId="3">
    <w:abstractNumId w:val="8"/>
  </w:num>
  <w:num w:numId="4">
    <w:abstractNumId w:val="26"/>
  </w:num>
  <w:num w:numId="5">
    <w:abstractNumId w:val="7"/>
  </w:num>
  <w:num w:numId="6">
    <w:abstractNumId w:val="32"/>
  </w:num>
  <w:num w:numId="7">
    <w:abstractNumId w:val="11"/>
  </w:num>
  <w:num w:numId="8">
    <w:abstractNumId w:val="34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9"/>
  </w:num>
  <w:num w:numId="13">
    <w:abstractNumId w:val="4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3"/>
  </w:num>
  <w:num w:numId="17">
    <w:abstractNumId w:val="1"/>
  </w:num>
  <w:num w:numId="18">
    <w:abstractNumId w:val="38"/>
  </w:num>
  <w:num w:numId="19">
    <w:abstractNumId w:val="27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8"/>
  </w:num>
  <w:num w:numId="25">
    <w:abstractNumId w:val="20"/>
  </w:num>
  <w:num w:numId="26">
    <w:abstractNumId w:val="23"/>
  </w:num>
  <w:num w:numId="27">
    <w:abstractNumId w:val="29"/>
  </w:num>
  <w:num w:numId="28">
    <w:abstractNumId w:val="21"/>
  </w:num>
  <w:num w:numId="29">
    <w:abstractNumId w:val="30"/>
  </w:num>
  <w:num w:numId="30">
    <w:abstractNumId w:val="17"/>
  </w:num>
  <w:num w:numId="31">
    <w:abstractNumId w:val="3"/>
  </w:num>
  <w:num w:numId="32">
    <w:abstractNumId w:val="19"/>
  </w:num>
  <w:num w:numId="33">
    <w:abstractNumId w:val="16"/>
  </w:num>
  <w:num w:numId="34">
    <w:abstractNumId w:val="14"/>
  </w:num>
  <w:num w:numId="35">
    <w:abstractNumId w:val="36"/>
  </w:num>
  <w:num w:numId="36">
    <w:abstractNumId w:val="5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37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23"/>
    <w:next w:val="72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2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27"/>
    <w:link w:val="724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727"/>
    <w:link w:val="725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727"/>
    <w:link w:val="726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23"/>
    <w:next w:val="72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2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23"/>
    <w:next w:val="72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2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23"/>
    <w:next w:val="72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2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23"/>
    <w:next w:val="72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2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23"/>
    <w:next w:val="72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2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23"/>
    <w:next w:val="72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27"/>
    <w:link w:val="33"/>
    <w:uiPriority w:val="10"/>
    <w:rPr>
      <w:sz w:val="48"/>
      <w:szCs w:val="48"/>
    </w:rPr>
  </w:style>
  <w:style w:type="paragraph" w:styleId="35">
    <w:name w:val="Subtitle"/>
    <w:basedOn w:val="723"/>
    <w:next w:val="72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27"/>
    <w:link w:val="35"/>
    <w:uiPriority w:val="11"/>
    <w:rPr>
      <w:sz w:val="24"/>
      <w:szCs w:val="24"/>
    </w:rPr>
  </w:style>
  <w:style w:type="paragraph" w:styleId="37">
    <w:name w:val="Quote"/>
    <w:basedOn w:val="723"/>
    <w:next w:val="72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23"/>
    <w:next w:val="72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23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27"/>
    <w:link w:val="41"/>
    <w:uiPriority w:val="99"/>
  </w:style>
  <w:style w:type="character" w:styleId="44">
    <w:name w:val="Footer Char"/>
    <w:basedOn w:val="727"/>
    <w:link w:val="736"/>
    <w:uiPriority w:val="99"/>
  </w:style>
  <w:style w:type="paragraph" w:styleId="45">
    <w:name w:val="Caption"/>
    <w:basedOn w:val="723"/>
    <w:next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36"/>
    <w:uiPriority w:val="99"/>
  </w:style>
  <w:style w:type="table" w:styleId="48">
    <w:name w:val="Table Grid Light"/>
    <w:basedOn w:val="7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2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27"/>
    <w:uiPriority w:val="99"/>
    <w:unhideWhenUsed/>
    <w:rPr>
      <w:vertAlign w:val="superscript"/>
    </w:rPr>
  </w:style>
  <w:style w:type="paragraph" w:styleId="177">
    <w:name w:val="endnote text"/>
    <w:basedOn w:val="72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27"/>
    <w:uiPriority w:val="99"/>
    <w:semiHidden/>
    <w:unhideWhenUsed/>
    <w:rPr>
      <w:vertAlign w:val="superscript"/>
    </w:rPr>
  </w:style>
  <w:style w:type="paragraph" w:styleId="180">
    <w:name w:val="toc 1"/>
    <w:basedOn w:val="723"/>
    <w:next w:val="72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23"/>
    <w:next w:val="72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23"/>
    <w:next w:val="72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23"/>
    <w:next w:val="72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23"/>
    <w:next w:val="72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23"/>
    <w:next w:val="72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23"/>
    <w:next w:val="72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23"/>
    <w:next w:val="72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23"/>
    <w:next w:val="72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23"/>
    <w:next w:val="723"/>
    <w:uiPriority w:val="99"/>
    <w:unhideWhenUsed/>
    <w:pPr>
      <w:spacing w:after="0" w:afterAutospacing="0"/>
    </w:pPr>
  </w:style>
  <w:style w:type="paragraph" w:styleId="723" w:default="1">
    <w:name w:val="Normal"/>
    <w:qFormat/>
    <w:rPr>
      <w:lang w:val="uk-UA"/>
    </w:rPr>
  </w:style>
  <w:style w:type="paragraph" w:styleId="724">
    <w:name w:val="Heading 2"/>
    <w:basedOn w:val="723"/>
    <w:link w:val="74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paragraph" w:styleId="725">
    <w:name w:val="Heading 3"/>
    <w:basedOn w:val="723"/>
    <w:next w:val="723"/>
    <w:link w:val="762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726">
    <w:name w:val="Heading 4"/>
    <w:basedOn w:val="723"/>
    <w:next w:val="723"/>
    <w:link w:val="763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paragraph" w:styleId="730">
    <w:name w:val="List Paragraph"/>
    <w:basedOn w:val="723"/>
    <w:link w:val="73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31" w:customStyle="1">
    <w:name w:val="Абзац списку Знак"/>
    <w:link w:val="730"/>
    <w:uiPriority w:val="34"/>
    <w:qFormat/>
    <w:rPr>
      <w:rFonts w:ascii="Calibri" w:hAnsi="Calibri" w:eastAsia="Calibri" w:cs="Calibri"/>
      <w:lang w:eastAsia="zh-CN"/>
    </w:rPr>
  </w:style>
  <w:style w:type="table" w:styleId="732">
    <w:name w:val="Table Grid"/>
    <w:basedOn w:val="72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3" w:customStyle="1">
    <w:name w:val="Сетка таблицы2"/>
    <w:basedOn w:val="728"/>
    <w:next w:val="73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4">
    <w:name w:val="Normal (Web)"/>
    <w:basedOn w:val="723"/>
    <w:link w:val="741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35" w:customStyle="1">
    <w:name w:val="Сетка таблицы1"/>
    <w:basedOn w:val="728"/>
    <w:next w:val="73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6">
    <w:name w:val="Footer"/>
    <w:basedOn w:val="723"/>
    <w:link w:val="73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37" w:customStyle="1">
    <w:name w:val="Нижній колонтитул Знак"/>
    <w:basedOn w:val="727"/>
    <w:link w:val="736"/>
    <w:uiPriority w:val="99"/>
    <w:rPr>
      <w:rFonts w:ascii="Calibri" w:hAnsi="Calibri" w:eastAsia="Calibri" w:cs="Calibri"/>
      <w:lang w:eastAsia="zh-CN"/>
    </w:rPr>
  </w:style>
  <w:style w:type="paragraph" w:styleId="73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39">
    <w:name w:val="Hyperlink"/>
    <w:basedOn w:val="727"/>
    <w:uiPriority w:val="99"/>
    <w:unhideWhenUsed/>
    <w:rPr>
      <w:color w:val="0563c1" w:themeColor="hyperlink"/>
      <w:u w:val="single"/>
    </w:rPr>
  </w:style>
  <w:style w:type="character" w:styleId="740" w:customStyle="1">
    <w:name w:val="xfm_93972720"/>
    <w:basedOn w:val="727"/>
  </w:style>
  <w:style w:type="character" w:styleId="741" w:customStyle="1">
    <w:name w:val="Звичайний (веб) Знак"/>
    <w:link w:val="734"/>
    <w:qFormat/>
    <w:rPr>
      <w:rFonts w:ascii="Times New Roman" w:hAnsi="Times New Roman" w:cs="Times New Roman"/>
      <w:sz w:val="24"/>
      <w:szCs w:val="24"/>
      <w:lang w:val="uk-UA"/>
    </w:rPr>
  </w:style>
  <w:style w:type="paragraph" w:styleId="742">
    <w:name w:val="Body Text 2"/>
    <w:basedOn w:val="723"/>
    <w:link w:val="74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43" w:customStyle="1">
    <w:name w:val="Основний текст 2 Знак"/>
    <w:basedOn w:val="727"/>
    <w:link w:val="74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45" w:customStyle="1">
    <w:name w:val="Заголовок 2 Знак"/>
    <w:basedOn w:val="727"/>
    <w:link w:val="724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46">
    <w:name w:val="No Spacing"/>
    <w:link w:val="74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47" w:customStyle="1">
    <w:name w:val="Без інтервалів Знак"/>
    <w:basedOn w:val="727"/>
    <w:link w:val="746"/>
    <w:uiPriority w:val="1"/>
    <w:rPr>
      <w:rFonts w:ascii="Calibri" w:hAnsi="Calibri" w:eastAsia="Calibri" w:cs="Times New Roman"/>
      <w:lang w:val="uk-UA"/>
    </w:rPr>
  </w:style>
  <w:style w:type="character" w:styleId="748" w:customStyle="1">
    <w:name w:val="Другое_"/>
    <w:basedOn w:val="727"/>
    <w:link w:val="749"/>
    <w:rPr>
      <w:rFonts w:ascii="Calibri" w:hAnsi="Calibri" w:eastAsia="Calibri" w:cs="Calibri"/>
      <w:sz w:val="20"/>
      <w:szCs w:val="20"/>
    </w:rPr>
  </w:style>
  <w:style w:type="paragraph" w:styleId="749" w:customStyle="1">
    <w:name w:val="Другое"/>
    <w:basedOn w:val="723"/>
    <w:link w:val="748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5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51" w:customStyle="1">
    <w:name w:val="Основной текст (2)_"/>
    <w:basedOn w:val="727"/>
    <w:link w:val="752"/>
    <w:rPr>
      <w:rFonts w:eastAsia="Times New Roman" w:cs="Times New Roman"/>
      <w:shd w:val="clear" w:color="auto" w:fill="ffffff"/>
    </w:rPr>
  </w:style>
  <w:style w:type="paragraph" w:styleId="752" w:customStyle="1">
    <w:name w:val="Основной текст (2)"/>
    <w:basedOn w:val="723"/>
    <w:link w:val="75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53" w:customStyle="1">
    <w:name w:val="Текст у виносці Знак"/>
    <w:basedOn w:val="727"/>
    <w:link w:val="75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54">
    <w:name w:val="Balloon Text"/>
    <w:basedOn w:val="723"/>
    <w:link w:val="75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55" w:customStyle="1">
    <w:name w:val="Текст у виносці Знак1"/>
    <w:basedOn w:val="72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56" w:customStyle="1">
    <w:name w:val="T23"/>
    <w:rPr>
      <w:rFonts w:hint="default" w:ascii="Times New Roman" w:hAnsi="Times New Roman" w:eastAsia="Times New Roman1" w:cs="Times New Roman"/>
    </w:rPr>
  </w:style>
  <w:style w:type="paragraph" w:styleId="757" w:customStyle="1">
    <w:name w:val="Абзац списку1"/>
    <w:basedOn w:val="723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58" w:customStyle="1">
    <w:name w:val="markedcontent"/>
    <w:basedOn w:val="727"/>
  </w:style>
  <w:style w:type="paragraph" w:styleId="759">
    <w:name w:val="annotation text"/>
    <w:basedOn w:val="723"/>
    <w:link w:val="760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60" w:customStyle="1">
    <w:name w:val="Текст примітки Знак"/>
    <w:basedOn w:val="727"/>
    <w:link w:val="75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61" w:customStyle="1">
    <w:name w:val="docdata"/>
    <w:basedOn w:val="727"/>
  </w:style>
  <w:style w:type="character" w:styleId="762" w:customStyle="1">
    <w:name w:val="Заголовок 3 Знак"/>
    <w:basedOn w:val="727"/>
    <w:link w:val="725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uk-UA"/>
    </w:rPr>
  </w:style>
  <w:style w:type="character" w:styleId="763" w:customStyle="1">
    <w:name w:val="Заголовок 4 Знак"/>
    <w:basedOn w:val="727"/>
    <w:link w:val="726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  <w:lang w:val="uk-UA"/>
    </w:rPr>
  </w:style>
  <w:style w:type="paragraph" w:styleId="764" w:customStyle="1">
    <w:name w:val="name-spec"/>
    <w:basedOn w:val="72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65" w:customStyle="1">
    <w:name w:val="cont-spec"/>
    <w:basedOn w:val="72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766">
    <w:name w:val="Strong"/>
    <w:basedOn w:val="727"/>
    <w:uiPriority w:val="22"/>
    <w:qFormat/>
    <w:rPr>
      <w:b/>
      <w:bCs/>
    </w:rPr>
  </w:style>
  <w:style w:type="paragraph" w:styleId="767" w:customStyle="1">
    <w:name w:val="rvps6"/>
    <w:basedOn w:val="723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table" w:styleId="768" w:customStyle="1">
    <w:name w:val="Сітка таблиці1"/>
    <w:pPr>
      <w:spacing w:after="0" w:line="240" w:lineRule="auto"/>
    </w:pPr>
    <w:rPr>
      <w:rFonts w:eastAsiaTheme="minorEastAsia"/>
      <w:lang w:val="uk-UA"/>
    </w:rPr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153</cp:revision>
  <dcterms:created xsi:type="dcterms:W3CDTF">2022-11-01T12:47:00Z</dcterms:created>
  <dcterms:modified xsi:type="dcterms:W3CDTF">2024-04-10T09:23:05Z</dcterms:modified>
</cp:coreProperties>
</file>