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рездор (гумове покриття для підлоги) за кодом CPV за ЄЗС ДК 021:2015: 19510000-4 Гумові вироби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6295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рездор (гумове покриття для підлоги)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92"/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Рездор (гумове покриття для підлоги)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</w:rPr>
              <w:t xml:space="preserve">225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</w:rPr>
              <w:t xml:space="preserve">шт</w:t>
            </w:r>
            <w:r/>
          </w:p>
        </w:tc>
      </w:tr>
    </w:tbl>
    <w:p>
      <w:pPr>
        <w:pStyle w:val="692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92"/>
        <w:jc w:val="both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</w:t>
      </w:r>
      <w:r>
        <w:rPr>
          <w:b/>
          <w:bCs/>
          <w:i/>
          <w:iCs/>
          <w:lang w:eastAsia="ru-RU"/>
        </w:rPr>
        <w:t xml:space="preserve">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</w:t>
      </w:r>
      <w:r>
        <w:rPr>
          <w:b/>
          <w:bCs/>
          <w:i/>
          <w:iCs/>
          <w:lang w:eastAsia="ru-RU"/>
        </w:rPr>
        <w:t xml:space="preserve">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92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92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проєкту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88"/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 зобов’язання (всіх найменувань) повинні бути не менше строків, визначених технічними умовами виробника даних 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 повинен забезпечити обслуговування (підтримку) протягом гарантійного 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pStyle w:val="704"/>
        <w:ind w:firstLine="567"/>
        <w:jc w:val="both"/>
        <w:rPr>
          <w:rStyle w:val="71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Style w:val="714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 (надати гарантійний лист).</w:t>
      </w:r>
      <w:r/>
    </w:p>
    <w:p>
      <w:pPr>
        <w:pStyle w:val="704"/>
        <w:ind w:firstLine="567"/>
        <w:jc w:val="both"/>
        <w:rPr>
          <w:rStyle w:val="714"/>
          <w:sz w:val="24"/>
          <w:szCs w:val="24"/>
        </w:rPr>
      </w:pPr>
      <w:r>
        <w:rPr>
          <w:rStyle w:val="714"/>
          <w:sz w:val="24"/>
          <w:szCs w:val="24"/>
        </w:rPr>
        <w:t xml:space="preserve">8. Надати у складі пропозиції гарантійний лист, що всі витрати на розвантаження, підіймання на поверхи будівлі несе Учасник та виконує власними силами.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ідно з якими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688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88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Рездор (гумове покриття для підлоги):</w:t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Розмвр: 70*70 см. </w:t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Товщина: 18-20 мм.</w:t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Кількість: 225 шт </w:t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Матеріал: Гума.</w:t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Колір: Чорний</w:t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Довговічність: не повинен підлягати впливу дощу, снігу, холоду.</w:t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Вага: 10-20 кг.</w:t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Тип використання: універсальний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bookmarkEnd w:id="0"/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contextualSpacing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113 475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тринадцять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чотириста сімдесят п’ять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131</cp:revision>
  <dcterms:created xsi:type="dcterms:W3CDTF">2022-11-01T12:47:00Z</dcterms:created>
  <dcterms:modified xsi:type="dcterms:W3CDTF">2023-08-08T17:57:11Z</dcterms:modified>
</cp:coreProperties>
</file>