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59"/>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71667016"/>
      <w:r>
        <w:rPr>
          <w:b w:val="0"/>
          <w:bCs w:val="0"/>
          <w:sz w:val="24"/>
          <w:szCs w:val="24"/>
        </w:rPr>
        <w:t xml:space="preserve">Послуги </w:t>
      </w:r>
      <w:r>
        <w:rPr>
          <w:rFonts w:eastAsia="Calibri"/>
          <w:b w:val="0"/>
          <w:bCs w:val="0"/>
          <w:sz w:val="24"/>
          <w:szCs w:val="24"/>
          <w:lang w:eastAsia="ru-RU"/>
        </w:rPr>
        <w:t xml:space="preserve">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r>
        <w:rPr>
          <w:rFonts w:eastAsia="Calibri"/>
          <w:b w:val="0"/>
          <w:bCs w:val="0"/>
          <w:sz w:val="24"/>
          <w:szCs w:val="24"/>
          <w:lang w:eastAsia="ru-RU"/>
        </w:rPr>
        <w:t xml:space="preserve">відеофіксації</w:t>
      </w:r>
      <w:r>
        <w:rPr>
          <w:rFonts w:eastAsia="Calibri"/>
          <w:b w:val="0"/>
          <w:bCs w:val="0"/>
          <w:sz w:val="24"/>
          <w:szCs w:val="24"/>
          <w:lang w:eastAsia="ru-RU"/>
        </w:rPr>
        <w:t xml:space="preserve"> правопорушень у сфері безпеки дорожнього руху «</w:t>
      </w:r>
      <w:r>
        <w:rPr>
          <w:rFonts w:eastAsia="Calibri"/>
          <w:b w:val="0"/>
          <w:bCs w:val="0"/>
          <w:sz w:val="24"/>
          <w:szCs w:val="24"/>
          <w:lang w:val="en-US" w:eastAsia="ru-RU"/>
        </w:rPr>
        <w:t xml:space="preserve">EXPERT</w:t>
      </w:r>
      <w:r>
        <w:rPr>
          <w:rFonts w:eastAsia="Calibri"/>
          <w:b w:val="0"/>
          <w:bCs w:val="0"/>
          <w:sz w:val="24"/>
          <w:szCs w:val="24"/>
          <w:lang w:eastAsia="ru-RU"/>
        </w:rPr>
        <w:t xml:space="preserve">-</w:t>
      </w:r>
      <w:r>
        <w:rPr>
          <w:rFonts w:eastAsia="Calibri"/>
          <w:b w:val="0"/>
          <w:bCs w:val="0"/>
          <w:sz w:val="24"/>
          <w:szCs w:val="24"/>
          <w:lang w:val="en-US" w:eastAsia="ru-RU"/>
        </w:rPr>
        <w:t xml:space="preserve">FS</w:t>
      </w:r>
      <w:r>
        <w:rPr>
          <w:rFonts w:eastAsia="Calibri"/>
          <w:b w:val="0"/>
          <w:bCs w:val="0"/>
          <w:sz w:val="24"/>
          <w:szCs w:val="24"/>
          <w:lang w:eastAsia="ru-RU"/>
        </w:rPr>
        <w:t xml:space="preserve">»</w:t>
      </w:r>
      <w:r>
        <w:rPr>
          <w:b w:val="0"/>
          <w:bCs w:val="0"/>
          <w:sz w:val="24"/>
          <w:szCs w:val="24"/>
        </w:rPr>
        <w:t xml:space="preserve"> за ДК 021:2015 : 50410000-2 Послуги з ремонту і технічного обслуговування вимірювальних, випробувальних і контрольних приладів</w:t>
      </w:r>
      <w:bookmarkEnd w:id="0"/>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12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5962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w:t>
      </w:r>
      <w:r>
        <w:rPr>
          <w:rFonts w:ascii="Times New Roman" w:hAnsi="Times New Roman" w:eastAsia="Calibri" w:cs="Times New Roman"/>
          <w:sz w:val="24"/>
          <w:szCs w:val="24"/>
          <w:lang w:eastAsia="ru-RU"/>
        </w:rPr>
        <w:t xml:space="preserve">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r>
        <w:rPr>
          <w:rFonts w:ascii="Times New Roman" w:hAnsi="Times New Roman" w:eastAsia="Calibri" w:cs="Times New Roman"/>
          <w:sz w:val="24"/>
          <w:szCs w:val="24"/>
          <w:lang w:eastAsia="ru-RU"/>
        </w:rPr>
        <w:t xml:space="preserve">відеофіксації</w:t>
      </w:r>
      <w:r>
        <w:rPr>
          <w:rFonts w:ascii="Times New Roman" w:hAnsi="Times New Roman" w:eastAsia="Calibri" w:cs="Times New Roman"/>
          <w:sz w:val="24"/>
          <w:szCs w:val="24"/>
          <w:lang w:eastAsia="ru-RU"/>
        </w:rPr>
        <w:t xml:space="preserve"> правопорушень у сфері безпеки дорожнього руху «</w:t>
      </w:r>
      <w:r>
        <w:rPr>
          <w:rFonts w:ascii="Times New Roman" w:hAnsi="Times New Roman" w:eastAsia="Calibri" w:cs="Times New Roman"/>
          <w:sz w:val="24"/>
          <w:szCs w:val="24"/>
          <w:lang w:val="en-US" w:eastAsia="ru-RU"/>
        </w:rPr>
        <w:t xml:space="preserve">EXPERT</w:t>
      </w:r>
      <w:r>
        <w:rPr>
          <w:rFonts w:ascii="Times New Roman" w:hAnsi="Times New Roman" w:eastAsia="Calibri" w:cs="Times New Roman"/>
          <w:sz w:val="24"/>
          <w:szCs w:val="24"/>
          <w:lang w:eastAsia="ru-RU"/>
        </w:rPr>
        <w:t xml:space="preserve">-</w:t>
      </w:r>
      <w:r>
        <w:rPr>
          <w:rFonts w:ascii="Times New Roman" w:hAnsi="Times New Roman" w:eastAsia="Calibri" w:cs="Times New Roman"/>
          <w:sz w:val="24"/>
          <w:szCs w:val="24"/>
          <w:lang w:val="en-US" w:eastAsia="ru-RU"/>
        </w:rPr>
        <w:t xml:space="preserve">FS</w:t>
      </w:r>
      <w:r>
        <w:rPr>
          <w:rFonts w:ascii="Times New Roman" w:hAnsi="Times New Roman" w:eastAsia="Calibri" w:cs="Times New Roman"/>
          <w:sz w:val="24"/>
          <w:szCs w:val="24"/>
          <w:lang w:eastAsia="ru-RU"/>
        </w:rPr>
        <w:t xml:space="preserve">»</w:t>
      </w:r>
      <w:r>
        <w:rPr>
          <w:rFonts w:ascii="Times New Roman" w:hAnsi="Times New Roman" w:cs="Times New Roman"/>
          <w:sz w:val="24"/>
          <w:szCs w:val="24"/>
        </w:rPr>
        <w:t xml:space="preserve"> за ДК 021:2015 : 50410000-2 Послуги з ремонту і технічного обслуговування вимірювальних, випробувальних і контрольних приладів</w:t>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numPr>
          <w:ilvl w:val="0"/>
          <w:numId w:val="1"/>
        </w:numPr>
        <w:contextualSpacing/>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Загальна інформація.</w:t>
      </w:r>
      <w:r/>
    </w:p>
    <w:p>
      <w:pPr>
        <w:contextualSpacing/>
        <w:ind w:firstLine="709"/>
        <w:jc w:val="both"/>
        <w:spacing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«Комплексів автоматичної фото-/</w:t>
      </w:r>
      <w:r>
        <w:rPr>
          <w:rFonts w:ascii="Times New Roman" w:hAnsi="Times New Roman" w:eastAsia="Calibri" w:cs="Times New Roman"/>
          <w:bCs/>
          <w:sz w:val="24"/>
          <w:szCs w:val="24"/>
        </w:rPr>
        <w:t xml:space="preserve">відеофіксації</w:t>
      </w:r>
      <w:r>
        <w:rPr>
          <w:rFonts w:ascii="Times New Roman" w:hAnsi="Times New Roman" w:eastAsia="Calibri" w:cs="Times New Roman"/>
          <w:bCs/>
          <w:sz w:val="24"/>
          <w:szCs w:val="24"/>
        </w:rPr>
        <w:t xml:space="preserve"> правопорушень у сфері безпеки дорожнього руху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bCs/>
          <w:sz w:val="24"/>
          <w:szCs w:val="24"/>
        </w:rPr>
        <w:t xml:space="preserve">» (далі – Комплекс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bCs/>
          <w:sz w:val="24"/>
          <w:szCs w:val="24"/>
        </w:rPr>
        <w:t xml:space="preserve"> »), які здійснюються шляхом виконання робіт з обслуговування відповідно до експлуатаційної докумен</w:t>
      </w:r>
      <w:r>
        <w:rPr>
          <w:rFonts w:ascii="Times New Roman" w:hAnsi="Times New Roman" w:eastAsia="Calibri" w:cs="Times New Roman"/>
          <w:bCs/>
          <w:sz w:val="24"/>
          <w:szCs w:val="24"/>
        </w:rPr>
        <w:t xml:space="preserve">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r/>
    </w:p>
    <w:p>
      <w:pPr>
        <w:ind w:firstLine="720"/>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Комплекс </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bCs/>
          <w:sz w:val="24"/>
          <w:szCs w:val="24"/>
        </w:rPr>
        <w:t xml:space="preserve">»</w:t>
      </w:r>
      <w:r>
        <w:rPr>
          <w:rFonts w:ascii="Times New Roman" w:hAnsi="Times New Roman" w:cs="Times New Roman"/>
          <w:sz w:val="24"/>
          <w:szCs w:val="24"/>
          <w:lang w:eastAsia="uk-UA"/>
        </w:rPr>
        <w:t xml:space="preserve"> вироблений ТОВ «ВІДЕО СФЕРА» та забезпечує в автоматичному режимі фотозйомку та відеозапис подій, що мі</w:t>
      </w:r>
      <w:r>
        <w:rPr>
          <w:rFonts w:ascii="Times New Roman" w:hAnsi="Times New Roman" w:cs="Times New Roman"/>
          <w:sz w:val="24"/>
          <w:szCs w:val="24"/>
          <w:lang w:eastAsia="uk-UA"/>
        </w:rPr>
        <w:t xml:space="preserve">стять ознаки адміністративних правопорушень у сфері забезпечення безпеки дорожнього 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r/>
    </w:p>
    <w:p>
      <w:pPr>
        <w:ind w:firstLine="720"/>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Комплекс складається з:</w:t>
      </w:r>
      <w:r/>
    </w:p>
    <w:p>
      <w:pPr>
        <w:pStyle w:val="665"/>
        <w:numPr>
          <w:ilvl w:val="0"/>
          <w:numId w:val="5"/>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Багатофункціональної</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дорожньої</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камери</w:t>
      </w:r>
      <w:r>
        <w:rPr>
          <w:rFonts w:ascii="Times New Roman" w:hAnsi="Times New Roman" w:cs="Times New Roman"/>
          <w:sz w:val="24"/>
          <w:szCs w:val="24"/>
          <w:lang w:eastAsia="uk-UA"/>
        </w:rPr>
        <w:t xml:space="preserve"> (БФДК);</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кольорова</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відеокамера</w:t>
      </w:r>
      <w:r>
        <w:rPr>
          <w:rFonts w:ascii="Times New Roman" w:hAnsi="Times New Roman" w:cs="Times New Roman"/>
          <w:sz w:val="24"/>
          <w:szCs w:val="24"/>
          <w:lang w:eastAsia="uk-UA"/>
        </w:rPr>
        <w:t xml:space="preserve"> з </w:t>
      </w:r>
      <w:r>
        <w:rPr>
          <w:rFonts w:ascii="Times New Roman" w:hAnsi="Times New Roman" w:cs="Times New Roman"/>
          <w:sz w:val="24"/>
          <w:szCs w:val="24"/>
          <w:lang w:eastAsia="uk-UA"/>
        </w:rPr>
        <w:t xml:space="preserve">інтегрованим</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обчислювальним</w:t>
      </w:r>
      <w:r>
        <w:rPr>
          <w:rFonts w:ascii="Times New Roman" w:hAnsi="Times New Roman" w:cs="Times New Roman"/>
          <w:sz w:val="24"/>
          <w:szCs w:val="24"/>
          <w:lang w:eastAsia="uk-UA"/>
        </w:rPr>
        <w:t xml:space="preserve"> модулем;</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багатопозиційний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радарний</w:t>
      </w:r>
      <w:r>
        <w:rPr>
          <w:rFonts w:ascii="Times New Roman" w:hAnsi="Times New Roman" w:cs="Times New Roman"/>
          <w:sz w:val="24"/>
          <w:szCs w:val="24"/>
          <w:lang w:eastAsia="uk-UA"/>
        </w:rPr>
        <w:t xml:space="preserve"> модуль;</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інфрачервоний</w:t>
      </w:r>
      <w:r>
        <w:rPr>
          <w:rFonts w:ascii="Times New Roman" w:hAnsi="Times New Roman" w:cs="Times New Roman"/>
          <w:sz w:val="24"/>
          <w:szCs w:val="24"/>
          <w:lang w:eastAsia="uk-UA"/>
        </w:rPr>
        <w:t xml:space="preserve"> прожектор;</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GPS-</w:t>
      </w:r>
      <w:r>
        <w:rPr>
          <w:rFonts w:ascii="Times New Roman" w:hAnsi="Times New Roman" w:cs="Times New Roman"/>
          <w:sz w:val="24"/>
          <w:szCs w:val="24"/>
          <w:lang w:eastAsia="uk-UA"/>
        </w:rPr>
        <w:t xml:space="preserve">модуль;</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апаратний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засіб</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криптографічного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захисту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інформації</w:t>
      </w:r>
      <w:r>
        <w:rPr>
          <w:rFonts w:ascii="Times New Roman" w:hAnsi="Times New Roman" w:cs="Times New Roman"/>
          <w:sz w:val="24"/>
          <w:szCs w:val="24"/>
          <w:lang w:eastAsia="uk-UA"/>
        </w:rPr>
        <w:t xml:space="preserve"> – </w:t>
      </w:r>
      <w:r>
        <w:rPr>
          <w:rFonts w:ascii="Times New Roman" w:hAnsi="Times New Roman" w:cs="Times New Roman"/>
          <w:sz w:val="24"/>
          <w:szCs w:val="24"/>
          <w:lang w:eastAsia="uk-UA"/>
        </w:rPr>
        <w:t xml:space="preserve">електронний</w:t>
      </w:r>
      <w:r>
        <w:rPr>
          <w:rFonts w:ascii="Times New Roman" w:hAnsi="Times New Roman" w:cs="Times New Roman"/>
          <w:sz w:val="24"/>
          <w:szCs w:val="24"/>
          <w:lang w:eastAsia="uk-UA"/>
        </w:rPr>
        <w:t xml:space="preserve"> ключ «Алмаз-1К».</w:t>
      </w:r>
      <w:r/>
    </w:p>
    <w:p>
      <w:pPr>
        <w:pStyle w:val="665"/>
        <w:numPr>
          <w:ilvl w:val="0"/>
          <w:numId w:val="5"/>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Телекомунікаційного</w:t>
      </w:r>
      <w:r>
        <w:rPr>
          <w:rFonts w:ascii="Times New Roman" w:hAnsi="Times New Roman" w:cs="Times New Roman"/>
          <w:sz w:val="24"/>
          <w:szCs w:val="24"/>
          <w:lang w:eastAsia="uk-UA"/>
        </w:rPr>
        <w:t xml:space="preserve"> блока (ТБ):</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бокс </w:t>
      </w:r>
      <w:r>
        <w:rPr>
          <w:rFonts w:ascii="Times New Roman" w:hAnsi="Times New Roman" w:cs="Times New Roman"/>
          <w:sz w:val="24"/>
          <w:szCs w:val="24"/>
          <w:lang w:eastAsia="uk-UA"/>
        </w:rPr>
        <w:t xml:space="preserve">металевий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захисний</w:t>
      </w:r>
      <w:r>
        <w:rPr>
          <w:rFonts w:ascii="Times New Roman" w:hAnsi="Times New Roman" w:cs="Times New Roman"/>
          <w:sz w:val="24"/>
          <w:szCs w:val="24"/>
          <w:lang w:eastAsia="uk-UA"/>
        </w:rPr>
        <w:t xml:space="preserve">;</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підсистема</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електроживлення</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автоматичний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вимикач</w:t>
      </w:r>
      <w:r>
        <w:rPr>
          <w:rFonts w:ascii="Times New Roman" w:hAnsi="Times New Roman" w:cs="Times New Roman"/>
          <w:sz w:val="24"/>
          <w:szCs w:val="24"/>
          <w:lang w:eastAsia="uk-UA"/>
        </w:rPr>
        <w:t xml:space="preserve">, реле </w:t>
      </w:r>
      <w:r>
        <w:rPr>
          <w:rFonts w:ascii="Times New Roman" w:hAnsi="Times New Roman" w:cs="Times New Roman"/>
          <w:sz w:val="24"/>
          <w:szCs w:val="24"/>
          <w:lang w:eastAsia="uk-UA"/>
        </w:rPr>
        <w:t xml:space="preserve">напруги</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модульне</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джерело</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живлення</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постійного</w:t>
      </w:r>
      <w:r>
        <w:rPr>
          <w:rFonts w:ascii="Times New Roman" w:hAnsi="Times New Roman" w:cs="Times New Roman"/>
          <w:sz w:val="24"/>
          <w:szCs w:val="24"/>
          <w:lang w:eastAsia="uk-UA"/>
        </w:rPr>
        <w:t xml:space="preserve"> струму </w:t>
      </w:r>
      <w:r>
        <w:rPr>
          <w:rFonts w:ascii="Times New Roman" w:hAnsi="Times New Roman" w:cs="Times New Roman"/>
          <w:sz w:val="24"/>
          <w:szCs w:val="24"/>
          <w:lang w:eastAsia="uk-UA"/>
        </w:rPr>
        <w:t xml:space="preserve">номінальною</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напругою</w:t>
      </w:r>
      <w:r>
        <w:rPr>
          <w:rFonts w:ascii="Times New Roman" w:hAnsi="Times New Roman" w:cs="Times New Roman"/>
          <w:sz w:val="24"/>
          <w:szCs w:val="24"/>
          <w:lang w:eastAsia="uk-UA"/>
        </w:rPr>
        <w:t xml:space="preserve"> 24 В);</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акумуляторна</w:t>
      </w:r>
      <w:r>
        <w:rPr>
          <w:rFonts w:ascii="Times New Roman" w:hAnsi="Times New Roman" w:cs="Times New Roman"/>
          <w:sz w:val="24"/>
          <w:szCs w:val="24"/>
          <w:lang w:eastAsia="uk-UA"/>
        </w:rPr>
        <w:t xml:space="preserve"> батарея </w:t>
      </w:r>
      <w:r>
        <w:rPr>
          <w:rFonts w:ascii="Times New Roman" w:hAnsi="Times New Roman" w:cs="Times New Roman"/>
          <w:sz w:val="24"/>
          <w:szCs w:val="24"/>
          <w:lang w:eastAsia="uk-UA"/>
        </w:rPr>
        <w:t xml:space="preserve">номінальною</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напругою</w:t>
      </w:r>
      <w:r>
        <w:rPr>
          <w:rFonts w:ascii="Times New Roman" w:hAnsi="Times New Roman" w:cs="Times New Roman"/>
          <w:sz w:val="24"/>
          <w:szCs w:val="24"/>
          <w:lang w:eastAsia="uk-UA"/>
        </w:rPr>
        <w:t xml:space="preserve"> 12 В </w:t>
      </w:r>
      <w:r>
        <w:rPr>
          <w:rFonts w:ascii="Times New Roman" w:hAnsi="Times New Roman" w:cs="Times New Roman"/>
          <w:sz w:val="24"/>
          <w:szCs w:val="24"/>
          <w:lang w:eastAsia="uk-UA"/>
        </w:rPr>
        <w:t xml:space="preserve">із</w:t>
      </w:r>
      <w:r>
        <w:rPr>
          <w:rFonts w:ascii="Times New Roman" w:hAnsi="Times New Roman" w:cs="Times New Roman"/>
          <w:sz w:val="24"/>
          <w:szCs w:val="24"/>
          <w:lang w:eastAsia="uk-UA"/>
        </w:rPr>
        <w:t xml:space="preserve"> системою </w:t>
      </w:r>
      <w:r>
        <w:rPr>
          <w:rFonts w:ascii="Times New Roman" w:hAnsi="Times New Roman" w:cs="Times New Roman"/>
          <w:sz w:val="24"/>
          <w:szCs w:val="24"/>
          <w:lang w:eastAsia="uk-UA"/>
        </w:rPr>
        <w:t xml:space="preserve">підігрівання</w:t>
      </w:r>
      <w:r>
        <w:rPr>
          <w:rFonts w:ascii="Times New Roman" w:hAnsi="Times New Roman" w:cs="Times New Roman"/>
          <w:sz w:val="24"/>
          <w:szCs w:val="24"/>
          <w:lang w:eastAsia="uk-UA"/>
        </w:rPr>
        <w:t xml:space="preserve">;</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підсистема</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моніторингу</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пристрій</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моніторингу</w:t>
      </w:r>
      <w:r>
        <w:rPr>
          <w:rFonts w:ascii="Times New Roman" w:hAnsi="Times New Roman" w:cs="Times New Roman"/>
          <w:sz w:val="24"/>
          <w:szCs w:val="24"/>
          <w:lang w:eastAsia="uk-UA"/>
        </w:rPr>
        <w:t xml:space="preserve">, плата </w:t>
      </w:r>
      <w:r>
        <w:rPr>
          <w:rFonts w:ascii="Times New Roman" w:hAnsi="Times New Roman" w:cs="Times New Roman"/>
          <w:sz w:val="24"/>
          <w:szCs w:val="24"/>
          <w:lang w:eastAsia="uk-UA"/>
        </w:rPr>
        <w:t xml:space="preserve">управління</w:t>
      </w:r>
      <w:r>
        <w:rPr>
          <w:rFonts w:ascii="Times New Roman" w:hAnsi="Times New Roman" w:cs="Times New Roman"/>
          <w:sz w:val="24"/>
          <w:szCs w:val="24"/>
          <w:lang w:eastAsia="uk-UA"/>
        </w:rPr>
        <w:t xml:space="preserve"> та контролю </w:t>
      </w:r>
      <w:r>
        <w:rPr>
          <w:rFonts w:ascii="Times New Roman" w:hAnsi="Times New Roman" w:cs="Times New Roman"/>
          <w:sz w:val="24"/>
          <w:szCs w:val="24"/>
          <w:lang w:eastAsia="uk-UA"/>
        </w:rPr>
        <w:t xml:space="preserve">живлення</w:t>
      </w:r>
      <w:r>
        <w:rPr>
          <w:rFonts w:ascii="Times New Roman" w:hAnsi="Times New Roman" w:cs="Times New Roman"/>
          <w:sz w:val="24"/>
          <w:szCs w:val="24"/>
          <w:lang w:eastAsia="uk-UA"/>
        </w:rPr>
        <w:t xml:space="preserve">);</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підсистема</w:t>
      </w:r>
      <w:r>
        <w:rPr>
          <w:rFonts w:ascii="Times New Roman" w:hAnsi="Times New Roman" w:cs="Times New Roman"/>
          <w:sz w:val="24"/>
          <w:szCs w:val="24"/>
          <w:lang w:eastAsia="uk-UA"/>
        </w:rPr>
        <w:t xml:space="preserve"> передача </w:t>
      </w:r>
      <w:r>
        <w:rPr>
          <w:rFonts w:ascii="Times New Roman" w:hAnsi="Times New Roman" w:cs="Times New Roman"/>
          <w:sz w:val="24"/>
          <w:szCs w:val="24"/>
          <w:lang w:eastAsia="uk-UA"/>
        </w:rPr>
        <w:t xml:space="preserve">даних</w:t>
      </w:r>
      <w:r>
        <w:rPr>
          <w:rFonts w:ascii="Times New Roman" w:hAnsi="Times New Roman" w:cs="Times New Roman"/>
          <w:sz w:val="24"/>
          <w:szCs w:val="24"/>
          <w:lang w:eastAsia="uk-UA"/>
        </w:rPr>
        <w:t xml:space="preserve">;</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витяжний</w:t>
      </w:r>
      <w:r>
        <w:rPr>
          <w:rFonts w:ascii="Times New Roman" w:hAnsi="Times New Roman" w:cs="Times New Roman"/>
          <w:sz w:val="24"/>
          <w:szCs w:val="24"/>
          <w:lang w:eastAsia="uk-UA"/>
        </w:rPr>
        <w:t xml:space="preserve"> вентилятор </w:t>
      </w:r>
      <w:r>
        <w:rPr>
          <w:rFonts w:ascii="Times New Roman" w:hAnsi="Times New Roman" w:cs="Times New Roman"/>
          <w:sz w:val="24"/>
          <w:szCs w:val="24"/>
          <w:lang w:eastAsia="uk-UA"/>
        </w:rPr>
        <w:t xml:space="preserve">із</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встановленим</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температурним</w:t>
      </w:r>
      <w:r>
        <w:rPr>
          <w:rFonts w:ascii="Times New Roman" w:hAnsi="Times New Roman" w:cs="Times New Roman"/>
          <w:sz w:val="24"/>
          <w:szCs w:val="24"/>
          <w:lang w:eastAsia="uk-UA"/>
        </w:rPr>
        <w:t xml:space="preserve"> порогом </w:t>
      </w:r>
      <w:r>
        <w:rPr>
          <w:rFonts w:ascii="Times New Roman" w:hAnsi="Times New Roman" w:cs="Times New Roman"/>
          <w:sz w:val="24"/>
          <w:szCs w:val="24"/>
          <w:lang w:eastAsia="uk-UA"/>
        </w:rPr>
        <w:t xml:space="preserve">увімкнення</w:t>
      </w:r>
      <w:r>
        <w:rPr>
          <w:rFonts w:ascii="Times New Roman" w:hAnsi="Times New Roman" w:cs="Times New Roman"/>
          <w:sz w:val="24"/>
          <w:szCs w:val="24"/>
          <w:lang w:eastAsia="uk-UA"/>
        </w:rPr>
        <w:br/>
        <w:t xml:space="preserve">(60 °С);</w:t>
      </w:r>
      <w:r/>
    </w:p>
    <w:p>
      <w:pPr>
        <w:pStyle w:val="665"/>
        <w:numPr>
          <w:ilvl w:val="0"/>
          <w:numId w:val="6"/>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датчик </w:t>
      </w:r>
      <w:r>
        <w:rPr>
          <w:rFonts w:ascii="Times New Roman" w:hAnsi="Times New Roman" w:cs="Times New Roman"/>
          <w:sz w:val="24"/>
          <w:szCs w:val="24"/>
          <w:lang w:eastAsia="uk-UA"/>
        </w:rPr>
        <w:t xml:space="preserve">відкривання</w:t>
      </w:r>
      <w:r>
        <w:rPr>
          <w:rFonts w:ascii="Times New Roman" w:hAnsi="Times New Roman" w:cs="Times New Roman"/>
          <w:sz w:val="24"/>
          <w:szCs w:val="24"/>
          <w:lang w:eastAsia="uk-UA"/>
        </w:rPr>
        <w:t xml:space="preserve"> дверей ТБ.</w:t>
      </w:r>
      <w:r/>
    </w:p>
    <w:p>
      <w:pPr>
        <w:pStyle w:val="665"/>
        <w:numPr>
          <w:ilvl w:val="0"/>
          <w:numId w:val="5"/>
        </w:num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Кронштейна К8-</w:t>
      </w:r>
      <w:r>
        <w:rPr>
          <w:rFonts w:ascii="Times New Roman" w:hAnsi="Times New Roman" w:cs="Times New Roman"/>
          <w:sz w:val="24"/>
          <w:szCs w:val="24"/>
          <w:lang w:val="en-US" w:eastAsia="uk-UA"/>
        </w:rPr>
        <w:t xml:space="preserve">S</w:t>
      </w:r>
      <w:r>
        <w:rPr>
          <w:rFonts w:ascii="Times New Roman" w:hAnsi="Times New Roman" w:cs="Times New Roman"/>
          <w:sz w:val="24"/>
          <w:szCs w:val="24"/>
          <w:lang w:eastAsia="uk-UA"/>
        </w:rPr>
        <w:t xml:space="preserve">.</w:t>
      </w:r>
      <w:r/>
    </w:p>
    <w:p>
      <w:pPr>
        <w:ind w:firstLine="720"/>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Технічні обслуговування проводяться з метою підтримання працездатного стану Комплексів </w:t>
      </w:r>
      <w:r>
        <w:rPr>
          <w:rFonts w:ascii="Times New Roman" w:hAnsi="Times New Roman" w:eastAsia="Calibri" w:cs="Times New Roman"/>
          <w:bCs/>
          <w:sz w:val="24"/>
          <w:szCs w:val="24"/>
        </w:rPr>
        <w:t xml:space="preserve">«</w:t>
      </w:r>
      <w:bookmarkStart w:id="1" w:name="_Hlk163577840"/>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bookmarkEnd w:id="1"/>
      <w:r>
        <w:rPr>
          <w:rFonts w:ascii="Times New Roman" w:hAnsi="Times New Roman" w:eastAsia="Calibri" w:cs="Times New Roman"/>
          <w:bCs/>
          <w:sz w:val="24"/>
          <w:szCs w:val="24"/>
        </w:rPr>
        <w:t xml:space="preserve">»</w:t>
      </w:r>
      <w:r>
        <w:rPr>
          <w:rFonts w:ascii="Times New Roman" w:hAnsi="Times New Roman" w:cs="Times New Roman"/>
          <w:sz w:val="24"/>
          <w:szCs w:val="24"/>
          <w:lang w:eastAsia="uk-UA"/>
        </w:rPr>
        <w:t xml:space="preserve"> в робочі дні з 09:00 до 18:00, у вихідні дні з 09:00 до 16:00.</w:t>
      </w:r>
      <w:r/>
    </w:p>
    <w:p>
      <w:pPr>
        <w:ind w:firstLine="720"/>
        <w:jc w:val="both"/>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p>
      <w:pPr>
        <w:contextualSpacing/>
        <w:ind w:left="567"/>
        <w:jc w:val="both"/>
        <w:spacing w:line="240" w:lineRule="auto"/>
        <w:rPr>
          <w:rFonts w:ascii="Times New Roman" w:hAnsi="Times New Roman" w:eastAsia="Calibri" w:cs="Times New Roman"/>
          <w:i/>
          <w:sz w:val="24"/>
          <w:szCs w:val="24"/>
        </w:rPr>
      </w:pPr>
      <w:r>
        <w:rPr>
          <w:rFonts w:ascii="Times New Roman" w:hAnsi="Times New Roman" w:eastAsia="Calibri" w:cs="Times New Roman"/>
          <w:b/>
          <w:sz w:val="24"/>
          <w:szCs w:val="24"/>
        </w:rPr>
        <w:t xml:space="preserve">2. Місця розташування та кількість Комплексів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b/>
          <w:sz w:val="24"/>
          <w:szCs w:val="24"/>
        </w:rPr>
        <w:t xml:space="preserve">», що підлягають технічному обслуговуванню:</w:t>
      </w:r>
      <w:r/>
    </w:p>
    <w:tbl>
      <w:tblPr>
        <w:tblW w:w="9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8"/>
        <w:gridCol w:w="6945"/>
        <w:gridCol w:w="1556"/>
      </w:tblGrid>
      <w:tr>
        <w:trPr>
          <w:trHeight w:val="300"/>
        </w:trPr>
        <w:tc>
          <w:tcPr>
            <w:shd w:val="clear" w:color="auto" w:fill="auto"/>
            <w:tcW w:w="1128" w:type="dxa"/>
            <w:vAlign w:val="center"/>
            <w:textDirection w:val="lrTb"/>
            <w:noWrap w:val="false"/>
          </w:tcPr>
          <w:p>
            <w:pPr>
              <w:jc w:val="center"/>
              <w:spacing w:line="240" w:lineRule="auto"/>
              <w:rPr>
                <w:rFonts w:ascii="Times New Roman" w:hAnsi="Times New Roman" w:cs="Times New Roman"/>
                <w:b/>
                <w:bCs/>
                <w:sz w:val="24"/>
                <w:szCs w:val="24"/>
                <w:lang w:eastAsia="uk-UA"/>
              </w:rPr>
            </w:pPr>
            <w:r/>
            <w:bookmarkStart w:id="2" w:name="_ix7pg7m7aggh"/>
            <w:r/>
            <w:bookmarkEnd w:id="2"/>
            <w:r>
              <w:rPr>
                <w:rFonts w:ascii="Times New Roman" w:hAnsi="Times New Roman" w:cs="Times New Roman"/>
                <w:b/>
                <w:bCs/>
                <w:sz w:val="24"/>
                <w:szCs w:val="24"/>
                <w:lang w:eastAsia="uk-UA"/>
              </w:rPr>
              <w:t xml:space="preserve">№ п/п</w:t>
            </w:r>
            <w:r/>
          </w:p>
        </w:tc>
        <w:tc>
          <w:tcPr>
            <w:shd w:val="clear" w:color="auto" w:fill="auto"/>
            <w:tcW w:w="6945" w:type="dxa"/>
            <w:vAlign w:val="center"/>
            <w:textDirection w:val="lrTb"/>
            <w:noWrap w:val="false"/>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Адреса встановлення</w:t>
            </w:r>
            <w:r/>
          </w:p>
        </w:tc>
        <w:tc>
          <w:tcPr>
            <w:shd w:val="clear" w:color="auto" w:fill="auto"/>
            <w:tcW w:w="1556" w:type="dxa"/>
            <w:textDirection w:val="lrTb"/>
            <w:noWrap w:val="false"/>
          </w:tcPr>
          <w:p>
            <w:pPr>
              <w:jc w:val="center"/>
              <w:spacing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Кількість</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H-09 Мукачево – Львів 322+566 (в напрямку вул. Богдана Хмельницького)</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M-06 Київ – Чоп 247+134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Н-13 Львів – Самбір – Ужгород 226+887 (в напрямку м. Ужгород)</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H-10 Стрий – Мамалига 120+854 (в напрямку м. Івано-Франківськ)</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H-10 Стрий – Мамалига 124+050 (в напрямку м. Отинія)</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М-19-03 Південний під'їзд до м. Чернівці 0+972</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Ужгород, вул. </w:t>
            </w:r>
            <w:r>
              <w:rPr>
                <w:rFonts w:ascii="Times New Roman" w:hAnsi="Times New Roman" w:cs="Times New Roman"/>
                <w:sz w:val="24"/>
                <w:szCs w:val="24"/>
                <w:lang w:eastAsia="uk-UA"/>
              </w:rPr>
              <w:t xml:space="preserve">Минайська</w:t>
            </w:r>
            <w:r>
              <w:rPr>
                <w:rFonts w:ascii="Times New Roman" w:hAnsi="Times New Roman" w:cs="Times New Roman"/>
                <w:sz w:val="24"/>
                <w:szCs w:val="24"/>
                <w:lang w:eastAsia="uk-UA"/>
              </w:rPr>
              <w:t xml:space="preserve">, 24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H-10 Стрий – Мамалига 66+610 (в напрямку с. Пійло)</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М-01 Київ – Чернігів – Нові </w:t>
            </w:r>
            <w:r>
              <w:rPr>
                <w:rFonts w:ascii="Times New Roman" w:hAnsi="Times New Roman" w:cs="Times New Roman"/>
                <w:sz w:val="24"/>
                <w:szCs w:val="24"/>
                <w:lang w:eastAsia="uk-UA"/>
              </w:rPr>
              <w:t xml:space="preserve">Яриловичі</w:t>
            </w:r>
            <w:r>
              <w:rPr>
                <w:rFonts w:ascii="Times New Roman" w:hAnsi="Times New Roman" w:cs="Times New Roman"/>
                <w:sz w:val="24"/>
                <w:szCs w:val="24"/>
                <w:lang w:eastAsia="uk-UA"/>
              </w:rPr>
              <w:t xml:space="preserve"> 28+342 (в </w:t>
            </w:r>
            <w:r>
              <w:rPr>
                <w:rFonts w:ascii="Times New Roman" w:hAnsi="Times New Roman" w:cs="Times New Roman"/>
                <w:sz w:val="24"/>
                <w:szCs w:val="24"/>
                <w:lang w:eastAsia="uk-UA"/>
              </w:rPr>
              <w:t xml:space="preserve">нaпpямкy</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Чepнiгoвa</w:t>
            </w:r>
            <w:r>
              <w:rPr>
                <w:rFonts w:ascii="Times New Roman" w:hAnsi="Times New Roman" w:cs="Times New Roman"/>
                <w:sz w:val="24"/>
                <w:szCs w:val="24"/>
                <w:lang w:eastAsia="uk-UA"/>
              </w:rPr>
              <w:t xml:space="preserve">)</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Чернівці, пр-т Незалежності, 125</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М-09 Тернопіль – Рава-Руська 66+283 (в напрямку с. Ясенівці)</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Н-09 Мукачево – Львів 2 + 395</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Чернівці, пр-т Незалежності, 94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М-01 Київ – Чернігів – Нові </w:t>
            </w:r>
            <w:r>
              <w:rPr>
                <w:rFonts w:ascii="Times New Roman" w:hAnsi="Times New Roman" w:cs="Times New Roman"/>
                <w:sz w:val="24"/>
                <w:szCs w:val="24"/>
                <w:lang w:eastAsia="uk-UA"/>
              </w:rPr>
              <w:t xml:space="preserve">Яриловичі</w:t>
            </w:r>
            <w:r>
              <w:rPr>
                <w:rFonts w:ascii="Times New Roman" w:hAnsi="Times New Roman" w:cs="Times New Roman"/>
                <w:sz w:val="24"/>
                <w:szCs w:val="24"/>
                <w:lang w:eastAsia="uk-UA"/>
              </w:rPr>
              <w:t xml:space="preserve"> 28+342 (в </w:t>
            </w:r>
            <w:r>
              <w:rPr>
                <w:rFonts w:ascii="Times New Roman" w:hAnsi="Times New Roman" w:cs="Times New Roman"/>
                <w:sz w:val="24"/>
                <w:szCs w:val="24"/>
                <w:lang w:eastAsia="uk-UA"/>
              </w:rPr>
              <w:t xml:space="preserve">напpямкy</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Kиєва</w:t>
            </w:r>
            <w:r>
              <w:rPr>
                <w:rFonts w:ascii="Times New Roman" w:hAnsi="Times New Roman" w:cs="Times New Roman"/>
                <w:sz w:val="24"/>
                <w:szCs w:val="24"/>
                <w:lang w:eastAsia="uk-UA"/>
              </w:rPr>
              <w:t xml:space="preserve">)</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M-19 </w:t>
            </w:r>
            <w:r>
              <w:rPr>
                <w:rFonts w:ascii="Times New Roman" w:hAnsi="Times New Roman" w:cs="Times New Roman"/>
                <w:sz w:val="24"/>
                <w:szCs w:val="24"/>
                <w:lang w:eastAsia="uk-UA"/>
              </w:rPr>
              <w:t xml:space="preserve">Доманове</w:t>
            </w:r>
            <w:r>
              <w:rPr>
                <w:rFonts w:ascii="Times New Roman" w:hAnsi="Times New Roman" w:cs="Times New Roman"/>
                <w:sz w:val="24"/>
                <w:szCs w:val="24"/>
                <w:lang w:eastAsia="uk-UA"/>
              </w:rPr>
              <w:t xml:space="preserve"> – </w:t>
            </w:r>
            <w:r>
              <w:rPr>
                <w:rFonts w:ascii="Times New Roman" w:hAnsi="Times New Roman" w:cs="Times New Roman"/>
                <w:sz w:val="24"/>
                <w:szCs w:val="24"/>
                <w:lang w:eastAsia="uk-UA"/>
              </w:rPr>
              <w:t xml:space="preserve">Тереблече</w:t>
            </w:r>
            <w:r>
              <w:rPr>
                <w:rFonts w:ascii="Times New Roman" w:hAnsi="Times New Roman" w:cs="Times New Roman"/>
                <w:sz w:val="24"/>
                <w:szCs w:val="24"/>
                <w:lang w:eastAsia="uk-UA"/>
              </w:rPr>
              <w:t xml:space="preserve"> 268+641</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Ужгород, вул. </w:t>
            </w:r>
            <w:r>
              <w:rPr>
                <w:rFonts w:ascii="Times New Roman" w:hAnsi="Times New Roman" w:cs="Times New Roman"/>
                <w:sz w:val="24"/>
                <w:szCs w:val="24"/>
                <w:lang w:eastAsia="uk-UA"/>
              </w:rPr>
              <w:t xml:space="preserve">Минайська</w:t>
            </w:r>
            <w:r>
              <w:rPr>
                <w:rFonts w:ascii="Times New Roman" w:hAnsi="Times New Roman" w:cs="Times New Roman"/>
                <w:sz w:val="24"/>
                <w:szCs w:val="24"/>
                <w:lang w:eastAsia="uk-UA"/>
              </w:rPr>
              <w:t xml:space="preserve">, 8</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M-30 Стрий – Ізварине 158+740</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Н22 Устилуг – Луцьк – Рівне 97 + 990</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M-19 </w:t>
            </w:r>
            <w:r>
              <w:rPr>
                <w:rFonts w:ascii="Times New Roman" w:hAnsi="Times New Roman" w:cs="Times New Roman"/>
                <w:sz w:val="24"/>
                <w:szCs w:val="24"/>
                <w:lang w:eastAsia="uk-UA"/>
              </w:rPr>
              <w:t xml:space="preserve">Доманове</w:t>
            </w:r>
            <w:r>
              <w:rPr>
                <w:rFonts w:ascii="Times New Roman" w:hAnsi="Times New Roman" w:cs="Times New Roman"/>
                <w:sz w:val="24"/>
                <w:szCs w:val="24"/>
                <w:lang w:eastAsia="uk-UA"/>
              </w:rPr>
              <w:t xml:space="preserve"> – </w:t>
            </w:r>
            <w:r>
              <w:rPr>
                <w:rFonts w:ascii="Times New Roman" w:hAnsi="Times New Roman" w:cs="Times New Roman"/>
                <w:sz w:val="24"/>
                <w:szCs w:val="24"/>
                <w:lang w:eastAsia="uk-UA"/>
              </w:rPr>
              <w:t xml:space="preserve">Тереблече</w:t>
            </w:r>
            <w:r>
              <w:rPr>
                <w:rFonts w:ascii="Times New Roman" w:hAnsi="Times New Roman" w:cs="Times New Roman"/>
                <w:sz w:val="24"/>
                <w:szCs w:val="24"/>
                <w:lang w:eastAsia="uk-UA"/>
              </w:rPr>
              <w:t xml:space="preserve"> 328+315</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М-08 </w:t>
            </w:r>
            <w:r>
              <w:rPr>
                <w:rFonts w:ascii="Times New Roman" w:hAnsi="Times New Roman" w:cs="Times New Roman"/>
                <w:sz w:val="24"/>
                <w:szCs w:val="24"/>
                <w:lang w:eastAsia="uk-UA"/>
              </w:rPr>
              <w:t xml:space="preserve">Oб'їзд</w:t>
            </w:r>
            <w:r>
              <w:rPr>
                <w:rFonts w:ascii="Times New Roman" w:hAnsi="Times New Roman" w:cs="Times New Roman"/>
                <w:sz w:val="24"/>
                <w:szCs w:val="24"/>
                <w:lang w:eastAsia="uk-UA"/>
              </w:rPr>
              <w:t xml:space="preserve"> м. </w:t>
            </w:r>
            <w:r>
              <w:rPr>
                <w:rFonts w:ascii="Times New Roman" w:hAnsi="Times New Roman" w:cs="Times New Roman"/>
                <w:sz w:val="24"/>
                <w:szCs w:val="24"/>
                <w:lang w:eastAsia="uk-UA"/>
              </w:rPr>
              <w:t xml:space="preserve">Ужгopoдa</w:t>
            </w:r>
            <w:r>
              <w:rPr>
                <w:rFonts w:ascii="Times New Roman" w:hAnsi="Times New Roman" w:cs="Times New Roman"/>
                <w:sz w:val="24"/>
                <w:szCs w:val="24"/>
                <w:lang w:eastAsia="uk-UA"/>
              </w:rPr>
              <w:t xml:space="preserve"> – КПП "Ужгород" 7+734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Чернівці, вул. Героїв Майдану, 160</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Р-62 Криворівня – Чернівці 100+356</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Чернівці, вул. Галицький шлях, 46В</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M-06 Київ – Чоп 325+770</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М-09 Тернопіль – Львів – Рава-Руська 12+205</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H-25 Городище – Рівне – Старокостянтинів 250+404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H-18 Івано-Франківськ – </w:t>
            </w:r>
            <w:r>
              <w:rPr>
                <w:rFonts w:ascii="Times New Roman" w:hAnsi="Times New Roman" w:cs="Times New Roman"/>
                <w:sz w:val="24"/>
                <w:szCs w:val="24"/>
                <w:lang w:eastAsia="uk-UA"/>
              </w:rPr>
              <w:t xml:space="preserve">Бучач</w:t>
            </w:r>
            <w:r>
              <w:rPr>
                <w:rFonts w:ascii="Times New Roman" w:hAnsi="Times New Roman" w:cs="Times New Roman"/>
                <w:sz w:val="24"/>
                <w:szCs w:val="24"/>
                <w:lang w:eastAsia="uk-UA"/>
              </w:rPr>
              <w:t xml:space="preserve"> – Тернопіль 48+821</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Н-10 Стрий – Мамалига 83+308</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H-22 Устилуг – Луцьк – Рівне 54+015</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H-09 Мукачево – Рахів – Богородчани – Івано-Франківськ – Рогатин – Бібрка – Львів 433+537</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М-19 </w:t>
            </w:r>
            <w:r>
              <w:rPr>
                <w:rFonts w:ascii="Times New Roman" w:hAnsi="Times New Roman" w:cs="Times New Roman"/>
                <w:sz w:val="24"/>
                <w:szCs w:val="24"/>
                <w:lang w:eastAsia="uk-UA"/>
              </w:rPr>
              <w:t xml:space="preserve">Доманове</w:t>
            </w:r>
            <w:r>
              <w:rPr>
                <w:rFonts w:ascii="Times New Roman" w:hAnsi="Times New Roman" w:cs="Times New Roman"/>
                <w:sz w:val="24"/>
                <w:szCs w:val="24"/>
                <w:lang w:eastAsia="uk-UA"/>
              </w:rPr>
              <w:t xml:space="preserve"> – </w:t>
            </w:r>
            <w:r>
              <w:rPr>
                <w:rFonts w:ascii="Times New Roman" w:hAnsi="Times New Roman" w:cs="Times New Roman"/>
                <w:sz w:val="24"/>
                <w:szCs w:val="24"/>
                <w:lang w:eastAsia="uk-UA"/>
              </w:rPr>
              <w:t xml:space="preserve">Тереблече</w:t>
            </w:r>
            <w:r>
              <w:rPr>
                <w:rFonts w:ascii="Times New Roman" w:hAnsi="Times New Roman" w:cs="Times New Roman"/>
                <w:sz w:val="24"/>
                <w:szCs w:val="24"/>
                <w:lang w:eastAsia="uk-UA"/>
              </w:rPr>
              <w:t xml:space="preserve"> 316+542</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М-30 Стрий – Ізварине 154+464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М-02 Кіпті – Глухів – </w:t>
            </w:r>
            <w:r>
              <w:rPr>
                <w:rFonts w:ascii="Times New Roman" w:hAnsi="Times New Roman" w:cs="Times New Roman"/>
                <w:sz w:val="24"/>
                <w:szCs w:val="24"/>
                <w:lang w:eastAsia="uk-UA"/>
              </w:rPr>
              <w:t xml:space="preserve">Бачівськ</w:t>
            </w:r>
            <w:r>
              <w:rPr>
                <w:rFonts w:ascii="Times New Roman" w:hAnsi="Times New Roman" w:cs="Times New Roman"/>
                <w:sz w:val="24"/>
                <w:szCs w:val="24"/>
                <w:lang w:eastAsia="uk-UA"/>
              </w:rPr>
              <w:t xml:space="preserve"> 167+441</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М-11 Львів – Шегині 62+177</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М-19 </w:t>
            </w:r>
            <w:r>
              <w:rPr>
                <w:rFonts w:ascii="Times New Roman" w:hAnsi="Times New Roman" w:cs="Times New Roman"/>
                <w:sz w:val="24"/>
                <w:szCs w:val="24"/>
                <w:lang w:eastAsia="uk-UA"/>
              </w:rPr>
              <w:t xml:space="preserve">Доманове</w:t>
            </w:r>
            <w:r>
              <w:rPr>
                <w:rFonts w:ascii="Times New Roman" w:hAnsi="Times New Roman" w:cs="Times New Roman"/>
                <w:sz w:val="24"/>
                <w:szCs w:val="24"/>
                <w:lang w:eastAsia="uk-UA"/>
              </w:rPr>
              <w:t xml:space="preserve"> – </w:t>
            </w:r>
            <w:r>
              <w:rPr>
                <w:rFonts w:ascii="Times New Roman" w:hAnsi="Times New Roman" w:cs="Times New Roman"/>
                <w:sz w:val="24"/>
                <w:szCs w:val="24"/>
                <w:lang w:eastAsia="uk-UA"/>
              </w:rPr>
              <w:t xml:space="preserve">Тереблече</w:t>
            </w:r>
            <w:r>
              <w:rPr>
                <w:rFonts w:ascii="Times New Roman" w:hAnsi="Times New Roman" w:cs="Times New Roman"/>
                <w:sz w:val="24"/>
                <w:szCs w:val="24"/>
                <w:lang w:eastAsia="uk-UA"/>
              </w:rPr>
              <w:t xml:space="preserve"> 142+324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М-19 </w:t>
            </w:r>
            <w:r>
              <w:rPr>
                <w:rFonts w:ascii="Times New Roman" w:hAnsi="Times New Roman" w:cs="Times New Roman"/>
                <w:sz w:val="24"/>
                <w:szCs w:val="24"/>
                <w:lang w:eastAsia="uk-UA"/>
              </w:rPr>
              <w:t xml:space="preserve">Доманове</w:t>
            </w:r>
            <w:r>
              <w:rPr>
                <w:rFonts w:ascii="Times New Roman" w:hAnsi="Times New Roman" w:cs="Times New Roman"/>
                <w:sz w:val="24"/>
                <w:szCs w:val="24"/>
                <w:lang w:eastAsia="uk-UA"/>
              </w:rPr>
              <w:t xml:space="preserve"> – </w:t>
            </w:r>
            <w:r>
              <w:rPr>
                <w:rFonts w:ascii="Times New Roman" w:hAnsi="Times New Roman" w:cs="Times New Roman"/>
                <w:sz w:val="24"/>
                <w:szCs w:val="24"/>
                <w:lang w:eastAsia="uk-UA"/>
              </w:rPr>
              <w:t xml:space="preserve">Тереблече</w:t>
            </w:r>
            <w:r>
              <w:rPr>
                <w:rFonts w:ascii="Times New Roman" w:hAnsi="Times New Roman" w:cs="Times New Roman"/>
                <w:sz w:val="24"/>
                <w:szCs w:val="24"/>
                <w:lang w:eastAsia="uk-UA"/>
              </w:rPr>
              <w:t xml:space="preserve"> 303+307</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M-06 Київ – Чоп 617+024</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M-06 Київ – Чоп 648+242</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M-11 Львів – Шегині 58+876</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r>
        <w:trPr>
          <w:trHeight w:val="300"/>
        </w:trPr>
        <w:tc>
          <w:tcPr>
            <w:shd w:val="clear" w:color="auto" w:fill="auto"/>
            <w:tcW w:w="1128" w:type="dxa"/>
            <w:vAlign w:val="center"/>
            <w:textDirection w:val="lrTb"/>
            <w:noWrap w:val="false"/>
          </w:tcPr>
          <w:p>
            <w:pPr>
              <w:pStyle w:val="665"/>
              <w:numPr>
                <w:ilvl w:val="0"/>
                <w:numId w:val="4"/>
              </w:num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c>
          <w:tcPr>
            <w:shd w:val="clear" w:color="auto" w:fill="ffffff"/>
            <w:tcW w:w="6945" w:type="dxa"/>
            <w:vAlign w:val="center"/>
            <w:textDirection w:val="lrTb"/>
            <w:noWrap w:val="false"/>
          </w:tcPr>
          <w:p>
            <w:pP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M-10 Львів – Краковець 16+281</w:t>
            </w:r>
            <w:r/>
          </w:p>
        </w:tc>
        <w:tc>
          <w:tcPr>
            <w:shd w:val="clear" w:color="auto" w:fill="auto"/>
            <w:tcW w:w="1556" w:type="dxa"/>
            <w:vAlign w:val="center"/>
            <w:textDirection w:val="lrTb"/>
            <w:noWrap w:val="false"/>
          </w:tcPr>
          <w:p>
            <w:pPr>
              <w:jc w:val="center"/>
              <w:spacing w:line="240" w:lineRule="auto"/>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bl>
    <w:p>
      <w:pPr>
        <w:spacing w:after="200" w:line="240" w:lineRule="auto"/>
        <w:rPr>
          <w:rFonts w:ascii="Times New Roman" w:hAnsi="Times New Roman" w:cs="Times New Roman"/>
          <w:b/>
          <w:sz w:val="24"/>
          <w:szCs w:val="24"/>
          <w:lang w:eastAsia="uk-UA"/>
        </w:rPr>
      </w:pPr>
      <w:r/>
      <w:bookmarkStart w:id="3" w:name="_8lhjtjsyighw"/>
      <w:r/>
      <w:bookmarkEnd w:id="3"/>
      <w:r/>
      <w:r/>
    </w:p>
    <w:p>
      <w:pPr>
        <w:ind w:left="567"/>
        <w:spacing w:after="20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ind w:left="567"/>
        <w:spacing w:after="20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r>
      <w:r/>
    </w:p>
    <w:p>
      <w:pPr>
        <w:ind w:left="567"/>
        <w:spacing w:after="20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3. Перелік послуг технічного обслуговування та періодичність їх виконання:</w:t>
      </w:r>
      <w:r/>
    </w:p>
    <w:tbl>
      <w:tblPr>
        <w:tblW w:w="991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ook w:val="0000" w:firstRow="0" w:lastRow="0" w:firstColumn="0" w:lastColumn="0" w:noHBand="0" w:noVBand="0"/>
      </w:tblPr>
      <w:tblGrid>
        <w:gridCol w:w="6677"/>
        <w:gridCol w:w="3241"/>
      </w:tblGrid>
      <w:tr>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ind w:left="176"/>
              <w:jc w:val="center"/>
              <w:spacing w:after="200" w:line="240" w:lineRule="auto"/>
              <w:rPr>
                <w:rFonts w:ascii="Times New Roman" w:hAnsi="Times New Roman" w:cs="Times New Roman"/>
                <w:b/>
                <w:sz w:val="24"/>
                <w:szCs w:val="24"/>
                <w:lang w:eastAsia="uk-UA"/>
              </w:rPr>
            </w:pPr>
            <w:r/>
            <w:bookmarkStart w:id="4" w:name="_hwckevvgb07n"/>
            <w:r/>
            <w:bookmarkEnd w:id="4"/>
            <w:r>
              <w:rPr>
                <w:rFonts w:ascii="Times New Roman" w:hAnsi="Times New Roman" w:cs="Times New Roman"/>
                <w:b/>
                <w:sz w:val="24"/>
                <w:szCs w:val="24"/>
                <w:lang w:eastAsia="uk-UA"/>
              </w:rPr>
              <w:t xml:space="preserve">Вид технічного обслуговування та перелік операцій, що виконуються</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Періодичність проведення</w:t>
            </w:r>
            <w:r/>
          </w:p>
        </w:tc>
      </w:tr>
      <w:tr>
        <w:trPr>
          <w:trHeight w:val="553"/>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ind w:left="176" w:firstLine="709"/>
              <w:jc w:val="center"/>
              <w:spacing w:after="200" w:line="240" w:lineRule="auto"/>
              <w:rPr>
                <w:rFonts w:ascii="Times New Roman" w:hAnsi="Times New Roman" w:cs="Times New Roman"/>
                <w:sz w:val="24"/>
                <w:szCs w:val="24"/>
                <w:lang w:eastAsia="uk-UA"/>
              </w:rPr>
            </w:pPr>
            <w:r>
              <w:rPr>
                <w:rFonts w:ascii="Times New Roman" w:hAnsi="Times New Roman" w:cs="Times New Roman"/>
                <w:b/>
                <w:sz w:val="24"/>
                <w:szCs w:val="24"/>
                <w:lang w:eastAsia="uk-UA"/>
              </w:rPr>
              <w:t xml:space="preserve">Цілодобовий моніторинг роботи усіх систем комплексу </w:t>
            </w:r>
            <w:r>
              <w:rPr>
                <w:rFonts w:ascii="Times New Roman" w:hAnsi="Times New Roman" w:cs="Times New Roman"/>
                <w:b/>
                <w:bCs/>
                <w:sz w:val="24"/>
                <w:szCs w:val="24"/>
                <w:lang w:eastAsia="uk-UA"/>
              </w:rPr>
              <w:t xml:space="preserve">«</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cs="Times New Roman"/>
                <w:b/>
                <w:bCs/>
                <w:sz w:val="24"/>
                <w:szCs w:val="24"/>
                <w:lang w:eastAsia="uk-UA"/>
              </w:rPr>
              <w:t xml:space="preserve">».</w:t>
            </w:r>
            <w:r/>
          </w:p>
        </w:tc>
      </w:tr>
      <w:tr>
        <w:trPr>
          <w:trHeight w:val="1008"/>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bCs/>
                <w:sz w:val="24"/>
                <w:szCs w:val="24"/>
                <w:lang w:eastAsia="uk-UA"/>
              </w:rPr>
              <w:t xml:space="preserve">Ц</w:t>
            </w:r>
            <w:r>
              <w:rPr>
                <w:rFonts w:ascii="Times New Roman" w:hAnsi="Times New Roman" w:cs="Times New Roman"/>
                <w:sz w:val="24"/>
                <w:szCs w:val="24"/>
                <w:lang w:eastAsia="uk-UA"/>
              </w:rPr>
              <w:t xml:space="preserve">ілодобовий моніторинг роботи  усіх систем комплексу </w:t>
            </w:r>
            <w:r>
              <w:rPr>
                <w:rFonts w:ascii="Times New Roman" w:hAnsi="Times New Roman" w:cs="Times New Roman"/>
                <w:bCs/>
                <w:sz w:val="24"/>
                <w:szCs w:val="24"/>
                <w:lang w:eastAsia="uk-UA"/>
              </w:rPr>
              <w:t xml:space="preserve">«</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cs="Times New Roman"/>
                <w:bCs/>
                <w:sz w:val="24"/>
                <w:szCs w:val="24"/>
                <w:lang w:eastAsia="uk-UA"/>
              </w:rPr>
              <w:t xml:space="preserve">»</w:t>
            </w:r>
            <w:r>
              <w:rPr>
                <w:rFonts w:ascii="Times New Roman" w:hAnsi="Times New Roman" w:cs="Times New Roman"/>
                <w:sz w:val="24"/>
                <w:szCs w:val="24"/>
                <w:lang w:eastAsia="uk-UA"/>
              </w:rPr>
              <w:t xml:space="preserve"> (далі — цілодобовий моніторинг) проводиться в усіх режимах роботи з автоматичною генерацією аварійних повідомлень (</w:t>
            </w:r>
            <w:r>
              <w:rPr>
                <w:rFonts w:ascii="Times New Roman" w:hAnsi="Times New Roman" w:cs="Times New Roman"/>
                <w:sz w:val="24"/>
                <w:szCs w:val="24"/>
                <w:lang w:val="en-US" w:eastAsia="uk-UA"/>
              </w:rPr>
              <w:t xml:space="preserve">Telegram</w:t>
            </w:r>
            <w:r>
              <w:rPr>
                <w:rFonts w:ascii="Times New Roman" w:hAnsi="Times New Roman" w:cs="Times New Roman"/>
                <w:sz w:val="24"/>
                <w:szCs w:val="24"/>
                <w:lang w:eastAsia="uk-UA"/>
              </w:rPr>
              <w:t xml:space="preserve">-бот). Він включає перевіряння показників функціонування систем комплексу у штатному режимі:</w:t>
            </w:r>
            <w:r/>
          </w:p>
          <w:p>
            <w:pPr>
              <w:numPr>
                <w:ilvl w:val="0"/>
                <w:numId w:val="2"/>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системи мережевого електроживлення;</w:t>
            </w:r>
            <w:r/>
          </w:p>
          <w:p>
            <w:pPr>
              <w:numPr>
                <w:ilvl w:val="0"/>
                <w:numId w:val="2"/>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системи обігріву АКБ;</w:t>
            </w:r>
            <w:r/>
          </w:p>
          <w:p>
            <w:pPr>
              <w:numPr>
                <w:ilvl w:val="0"/>
                <w:numId w:val="2"/>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системи резервного електроживлення від АКБ;</w:t>
            </w:r>
            <w:r/>
          </w:p>
          <w:p>
            <w:pPr>
              <w:numPr>
                <w:ilvl w:val="0"/>
                <w:numId w:val="2"/>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багатофункціональної дорожньої камери (БФДК);</w:t>
            </w:r>
            <w:r/>
          </w:p>
          <w:p>
            <w:pPr>
              <w:numPr>
                <w:ilvl w:val="0"/>
                <w:numId w:val="2"/>
              </w:numPr>
              <w:contextualSpacing/>
              <w:ind w:left="176" w:hanging="12"/>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каналів зв’язку між комплексом та центром обробки даних.</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Цілодобово</w:t>
            </w:r>
            <w:r/>
          </w:p>
        </w:tc>
      </w:tr>
      <w:tr>
        <w:trPr>
          <w:trHeight w:val="583"/>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spacing w:after="200" w:line="240" w:lineRule="auto"/>
              <w:shd w:val="clear" w:color="auto" w:fill="ffffff"/>
              <w:rPr>
                <w:rFonts w:ascii="Times New Roman" w:hAnsi="Times New Roman" w:cs="Times New Roman"/>
                <w:bCs/>
                <w:sz w:val="24"/>
                <w:szCs w:val="24"/>
                <w:lang w:eastAsia="uk-UA"/>
              </w:rPr>
            </w:pPr>
            <w:r>
              <w:rPr>
                <w:rFonts w:ascii="Times New Roman" w:hAnsi="Times New Roman" w:cs="Times New Roman"/>
                <w:bCs/>
                <w:sz w:val="24"/>
                <w:szCs w:val="24"/>
                <w:lang w:eastAsia="uk-UA"/>
              </w:rPr>
              <w:t xml:space="preserve">Відстеження і усунення помилок і збоїв у роботі системи </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Цілодобово</w:t>
            </w:r>
            <w:r/>
          </w:p>
        </w:tc>
      </w:tr>
      <w:tr>
        <w:trPr>
          <w:trHeight w:val="45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200" w:line="240" w:lineRule="auto"/>
              <w:shd w:val="clear" w:color="auto" w:fill="ffffff"/>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Технічний (контрольний) огляд та обстеження </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Візуальний контроль наявності та цілісності зовнішніх антенних пристроїв, пломб</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Візуальний контроль цілісності сигнальних кабелів, кабелів електроживлення, заземлення та елементів грозозахисту </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507"/>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200" w:line="240" w:lineRule="auto"/>
              <w:shd w:val="clear" w:color="auto" w:fill="ffffff"/>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Технічне обслуговування </w:t>
            </w:r>
            <w:r/>
          </w:p>
        </w:tc>
      </w:tr>
      <w:tr>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after="20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Детальний огляд та чистки блоків всієї апаратури без розтину блоків, захисних боксів, конструкцій, кріплень, перемикачів, роз'ємів і </w:t>
            </w:r>
            <w:r>
              <w:rPr>
                <w:rFonts w:ascii="Times New Roman" w:hAnsi="Times New Roman" w:eastAsia="Calibri" w:cs="Times New Roman"/>
                <w:sz w:val="24"/>
                <w:szCs w:val="24"/>
              </w:rPr>
              <w:t xml:space="preserve">т.п</w:t>
            </w:r>
            <w:r>
              <w:rPr>
                <w:rFonts w:ascii="Times New Roman" w:hAnsi="Times New Roman" w:eastAsia="Calibri" w:cs="Times New Roman"/>
                <w:sz w:val="24"/>
                <w:szCs w:val="24"/>
              </w:rPr>
              <w:t xml:space="preserve">., видалення пилу та забруднення внаслідок природних факторів та зносу</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929"/>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after="20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згідно з Сертифікатом перевірки типу № </w:t>
            </w:r>
            <w:r>
              <w:rPr>
                <w:rFonts w:ascii="Times New Roman" w:hAnsi="Times New Roman" w:eastAsia="Calibri" w:cs="Times New Roman"/>
                <w:sz w:val="24"/>
                <w:szCs w:val="24"/>
                <w:lang w:val="en-US"/>
              </w:rPr>
              <w:t xml:space="preserve">UA.TR.001 84-20 Rev. 1</w:t>
            </w:r>
            <w:r>
              <w:rPr>
                <w:rFonts w:ascii="Times New Roman" w:hAnsi="Times New Roman" w:eastAsia="Calibri" w:cs="Times New Roman"/>
                <w:sz w:val="24"/>
                <w:szCs w:val="24"/>
              </w:rPr>
              <w:t xml:space="preserve"> від 24.09.2021 (за необхідності), виконання контрольного кадру</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558"/>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 Перевірка та регулювання електротехнічних компонентів (батарейні комплекти, блоки живлення, плати, електричні з'єднання) та їх заміни, за необхідності</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34"/>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Контрольне вимірювання заряду-розряду батарейних комплектів</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5. Перевірка стану джерел живлення електроенергією,   дистанційного управління та сигналізації</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contextualSpacing/>
              <w:ind w:left="176"/>
              <w:jc w:val="both"/>
              <w:spacing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6. Чистка  оптичних елементів та інфрачервоних прожекторів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 потребі</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contextualSpacing/>
              <w:ind w:left="176"/>
              <w:jc w:val="both"/>
              <w:spacing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7.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contextualSpacing/>
              <w:ind w:left="176"/>
              <w:jc w:val="both"/>
              <w:spacing w:line="240" w:lineRule="auto"/>
              <w:shd w:val="clear" w:color="auto" w:fill="ffffff"/>
              <w:tabs>
                <w:tab w:val="left" w:pos="459" w:leader="none"/>
              </w:tabs>
              <w:rPr>
                <w:rFonts w:ascii="Times New Roman" w:hAnsi="Times New Roman" w:eastAsia="Calibri" w:cs="Times New Roman"/>
                <w:b/>
                <w:sz w:val="24"/>
                <w:szCs w:val="24"/>
              </w:rPr>
            </w:pPr>
            <w:r>
              <w:rPr>
                <w:rFonts w:ascii="Times New Roman" w:hAnsi="Times New Roman" w:eastAsia="Calibri" w:cs="Times New Roman"/>
                <w:sz w:val="24"/>
                <w:szCs w:val="24"/>
              </w:rPr>
              <w:t xml:space="preserve">8. Заміна елементів та вузлів комплексу, герметичних прокладок та інших матеріалів, що мають обмежений термін служби. Надання Замовнику для огляду з метою контролю зламаних, зношених та/або морально застарілих складових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bookmarkStart w:id="5" w:name="__DdeLink__3409_1807735482"/>
            <w:r>
              <w:rPr>
                <w:rFonts w:ascii="Times New Roman" w:hAnsi="Times New Roman" w:cs="Times New Roman"/>
                <w:sz w:val="24"/>
                <w:szCs w:val="24"/>
                <w:lang w:eastAsia="uk-UA"/>
              </w:rPr>
              <w:t xml:space="preserve">При потребі</w:t>
            </w:r>
            <w:bookmarkEnd w:id="5"/>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9. Заключне вимірювання параметрів і характеристик апаратури і доведення їх, при необхідності, до встановлених норм</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78"/>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contextualSpacing/>
              <w:ind w:left="176"/>
              <w:jc w:val="both"/>
              <w:spacing w:line="240" w:lineRule="auto"/>
              <w:tabs>
                <w:tab w:val="left" w:pos="459" w:leader="none"/>
              </w:tabs>
              <w:rPr>
                <w:rFonts w:ascii="Times New Roman" w:hAnsi="Times New Roman" w:eastAsia="Calibri" w:cs="Times New Roman"/>
                <w:sz w:val="24"/>
                <w:szCs w:val="24"/>
                <w:highlight w:val="yellow"/>
              </w:rPr>
            </w:pPr>
            <w:r>
              <w:rPr>
                <w:rFonts w:ascii="Times New Roman" w:hAnsi="Times New Roman" w:eastAsia="Calibri" w:cs="Times New Roman"/>
                <w:sz w:val="24"/>
                <w:szCs w:val="24"/>
              </w:rPr>
              <w:t xml:space="preserve">10. Аналіз відповідності поточного навантаження апаратному забезпеченню, що використовується, тестування продуктивності окремих операцій</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highlight w:val="yellow"/>
                <w:lang w:eastAsia="uk-UA"/>
              </w:rPr>
            </w:pPr>
            <w:r>
              <w:rPr>
                <w:rFonts w:ascii="Times New Roman" w:hAnsi="Times New Roman" w:cs="Times New Roman"/>
                <w:sz w:val="24"/>
                <w:szCs w:val="24"/>
                <w:lang w:eastAsia="uk-UA"/>
              </w:rPr>
              <w:t xml:space="preserve">Щомісяця</w:t>
            </w:r>
            <w:r/>
          </w:p>
        </w:tc>
      </w:tr>
      <w:tr>
        <w:trPr>
          <w:trHeight w:val="11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 Встановлення критичних оновлень та/або профілактика системного програмного забезпечення</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 потребі</w:t>
            </w:r>
            <w:r/>
          </w:p>
        </w:tc>
      </w:tr>
      <w:tr>
        <w:trPr>
          <w:trHeight w:val="772"/>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contextualSpacing/>
              <w:ind w:left="176"/>
              <w:jc w:val="both"/>
              <w:spacing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12. Тестування відновлення працездатності під час збоїв окремих компонентів ПЗ без втрати даних</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highlight w:val="green"/>
                <w:lang w:eastAsia="uk-UA"/>
              </w:rPr>
            </w:pPr>
            <w:r>
              <w:rPr>
                <w:rFonts w:ascii="Times New Roman" w:hAnsi="Times New Roman" w:cs="Times New Roman"/>
                <w:sz w:val="24"/>
                <w:szCs w:val="24"/>
                <w:lang w:eastAsia="uk-UA"/>
              </w:rPr>
              <w:t xml:space="preserve">При потребі</w:t>
            </w:r>
            <w:r/>
          </w:p>
        </w:tc>
      </w:tr>
      <w:tr>
        <w:trPr>
          <w:trHeight w:val="358"/>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 Періодичне оновлення програмного забезпечення, зокрема, в частині розпізнавання індивідуальних номерних знаків для досягнення показника з ймовірністю не гірше ніж 95 % (відсотків)</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 та при потребі Замовника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 Ведення експлуатаційної документації </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vAlign w:val="center"/>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 </w:t>
            </w:r>
            <w:r>
              <w:rPr>
                <w:rFonts w:ascii="Times New Roman" w:hAnsi="Times New Roman" w:eastAsia="Calibri" w:cs="Times New Roman"/>
                <w:sz w:val="24"/>
                <w:szCs w:val="24"/>
              </w:rPr>
              <w:t xml:space="preserve">Очищення від забруднення зовнішніх елементів ІЧ прожектора, елементів радару, мийка корпусу та скла </w:t>
            </w:r>
            <w:r>
              <w:rPr>
                <w:rFonts w:ascii="Times New Roman" w:hAnsi="Times New Roman" w:eastAsia="Calibri" w:cs="Times New Roman"/>
                <w:sz w:val="24"/>
                <w:szCs w:val="24"/>
              </w:rPr>
              <w:t xml:space="preserve">відеодатчика</w:t>
            </w:r>
            <w:r>
              <w:rPr>
                <w:rFonts w:ascii="Times New Roman" w:hAnsi="Times New Roman" w:eastAsia="Calibri" w:cs="Times New Roman"/>
                <w:sz w:val="24"/>
                <w:szCs w:val="24"/>
              </w:rPr>
              <w:t xml:space="preserve">. Очищення від снігу та бруду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 потребі</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176"/>
              <w:jc w:val="center"/>
              <w:spacing w:after="20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b/>
                <w:sz w:val="24"/>
                <w:szCs w:val="24"/>
              </w:rPr>
              <w:t xml:space="preserve">Сезонне</w:t>
            </w:r>
            <w:r>
              <w:rPr>
                <w:rFonts w:ascii="Times New Roman" w:hAnsi="Times New Roman" w:cs="Times New Roman"/>
                <w:b/>
                <w:spacing w:val="49"/>
                <w:sz w:val="24"/>
                <w:szCs w:val="24"/>
              </w:rPr>
              <w:t xml:space="preserve"> </w:t>
            </w:r>
            <w:r>
              <w:rPr>
                <w:rFonts w:ascii="Times New Roman" w:hAnsi="Times New Roman" w:cs="Times New Roman"/>
                <w:b/>
                <w:sz w:val="24"/>
                <w:szCs w:val="24"/>
              </w:rPr>
              <w:t xml:space="preserve">обслуговування</w:t>
            </w:r>
            <w:r>
              <w:rPr>
                <w:rFonts w:ascii="Times New Roman" w:hAnsi="Times New Roman" w:cs="Times New Roman"/>
                <w:b/>
                <w:spacing w:val="45"/>
                <w:sz w:val="24"/>
                <w:szCs w:val="24"/>
              </w:rPr>
              <w:t xml:space="preserve"> </w:t>
            </w:r>
            <w:r>
              <w:rPr>
                <w:rFonts w:ascii="Times New Roman" w:hAnsi="Times New Roman" w:cs="Times New Roman"/>
                <w:sz w:val="24"/>
                <w:szCs w:val="24"/>
              </w:rPr>
              <w:t xml:space="preserve">(СО)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pStyle w:val="665"/>
              <w:numPr>
                <w:ilvl w:val="0"/>
                <w:numId w:val="7"/>
              </w:numPr>
              <w:jc w:val="both"/>
              <w:spacing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Роботи</w:t>
            </w:r>
            <w:r>
              <w:rPr>
                <w:rFonts w:ascii="Times New Roman" w:hAnsi="Times New Roman" w:cs="Times New Roman"/>
                <w:sz w:val="24"/>
                <w:szCs w:val="24"/>
              </w:rPr>
              <w:t xml:space="preserve"> в </w:t>
            </w:r>
            <w:r>
              <w:rPr>
                <w:rFonts w:ascii="Times New Roman" w:hAnsi="Times New Roman" w:cs="Times New Roman"/>
                <w:sz w:val="24"/>
                <w:szCs w:val="24"/>
              </w:rPr>
              <w:t xml:space="preserve">обсязі</w:t>
            </w:r>
            <w:r>
              <w:rPr>
                <w:rFonts w:ascii="Times New Roman" w:hAnsi="Times New Roman" w:cs="Times New Roman"/>
                <w:sz w:val="24"/>
                <w:szCs w:val="24"/>
              </w:rPr>
              <w:t xml:space="preserve"> ТО № 1;</w:t>
            </w:r>
            <w:r/>
          </w:p>
        </w:tc>
        <w:tc>
          <w:tcPr>
            <w:shd w:val="clear" w:color="auto" w:fill="auto"/>
            <w:tcBorders>
              <w:top w:val="single" w:color="00000A" w:sz="4" w:space="0"/>
              <w:left w:val="single" w:color="00000A" w:sz="4" w:space="0"/>
              <w:right w:val="single" w:color="00000A" w:sz="4" w:space="0"/>
            </w:tcBorders>
            <w:tcW w:w="3241" w:type="dxa"/>
            <w:vAlign w:val="center"/>
            <w:vMerge w:val="restart"/>
            <w:textDirection w:val="lrTb"/>
            <w:noWrap w:val="false"/>
          </w:tcPr>
          <w:p>
            <w:pPr>
              <w:pStyle w:val="704"/>
              <w:ind w:left="309"/>
              <w:jc w:val="center"/>
              <w:rPr>
                <w:sz w:val="24"/>
                <w:szCs w:val="24"/>
              </w:rPr>
            </w:pPr>
            <w:r>
              <w:rPr>
                <w:sz w:val="24"/>
                <w:szCs w:val="24"/>
                <w:lang w:val="ru-RU"/>
              </w:rPr>
              <w:t xml:space="preserve">д</w:t>
            </w:r>
            <w:r>
              <w:rPr>
                <w:sz w:val="24"/>
                <w:szCs w:val="24"/>
              </w:rPr>
              <w:t xml:space="preserve">вічі</w:t>
            </w:r>
            <w:r>
              <w:rPr>
                <w:sz w:val="24"/>
                <w:szCs w:val="24"/>
                <w:lang w:val="ru-RU"/>
              </w:rPr>
              <w:t xml:space="preserve"> </w:t>
            </w:r>
            <w:r>
              <w:rPr>
                <w:sz w:val="24"/>
                <w:szCs w:val="24"/>
              </w:rPr>
              <w:t xml:space="preserve">на</w:t>
            </w:r>
            <w:r>
              <w:rPr>
                <w:sz w:val="24"/>
                <w:szCs w:val="24"/>
                <w:lang w:val="ru-RU"/>
              </w:rPr>
              <w:t xml:space="preserve"> </w:t>
            </w:r>
            <w:r>
              <w:rPr>
                <w:sz w:val="24"/>
                <w:szCs w:val="24"/>
              </w:rPr>
              <w:t xml:space="preserve">рік</w:t>
            </w:r>
            <w:r>
              <w:rPr>
                <w:sz w:val="24"/>
                <w:szCs w:val="24"/>
                <w:lang w:val="ru-RU"/>
              </w:rPr>
              <w:t xml:space="preserve"> </w:t>
            </w:r>
            <w:r>
              <w:rPr>
                <w:sz w:val="24"/>
                <w:szCs w:val="24"/>
              </w:rPr>
              <w:t xml:space="preserve">у</w:t>
            </w:r>
            <w:r>
              <w:rPr>
                <w:sz w:val="24"/>
                <w:szCs w:val="24"/>
                <w:lang w:val="ru-RU"/>
              </w:rPr>
              <w:t xml:space="preserve"> </w:t>
            </w:r>
            <w:r>
              <w:rPr>
                <w:sz w:val="24"/>
                <w:szCs w:val="24"/>
              </w:rPr>
              <w:t xml:space="preserve">жовтні-листопаді та</w:t>
            </w:r>
            <w:r>
              <w:rPr>
                <w:sz w:val="24"/>
                <w:szCs w:val="24"/>
                <w:lang w:val="ru-RU"/>
              </w:rPr>
              <w:t xml:space="preserve"> </w:t>
            </w:r>
            <w:r>
              <w:rPr>
                <w:sz w:val="24"/>
                <w:szCs w:val="24"/>
              </w:rPr>
              <w:t xml:space="preserve">липні-серпні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2. Заміни елементів та вузлів комплексу, герметичних прокладок та інших матеріалів, що мають обмежений термін служби </w:t>
            </w:r>
            <w:r/>
          </w:p>
        </w:tc>
        <w:tc>
          <w:tcPr>
            <w:shd w:val="clear" w:color="auto" w:fill="auto"/>
            <w:tcBorders>
              <w:left w:val="single" w:color="00000A" w:sz="4" w:space="0"/>
              <w:bottom w:val="single" w:color="00000A" w:sz="4" w:space="0"/>
              <w:right w:val="single" w:color="00000A" w:sz="4" w:space="0"/>
            </w:tcBorders>
            <w:tcW w:w="3241" w:type="dxa"/>
            <w:vMerge w:val="continue"/>
            <w:textDirection w:val="lrTb"/>
            <w:noWrap w:val="false"/>
          </w:tcPr>
          <w:p>
            <w:pPr>
              <w:ind w:left="309"/>
              <w:spacing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3. Профілактичне обслуговування: фарбування корпусу, видалення слідів корозії на зовнішній поверхні обладнання Комплексу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cs="Times New Roman"/>
                <w:sz w:val="24"/>
                <w:szCs w:val="24"/>
              </w:rPr>
              <w:t xml:space="preserve">»</w:t>
            </w:r>
            <w:r/>
          </w:p>
        </w:tc>
        <w:tc>
          <w:tcPr>
            <w:shd w:val="clear" w:color="auto" w:fill="auto"/>
            <w:tcBorders>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Щорічно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4. Проведення калібрування, співучасть в проведенні метрологічної повірки відповідно до затверджених </w:t>
            </w:r>
            <w:r>
              <w:rPr>
                <w:rFonts w:ascii="Times New Roman" w:hAnsi="Times New Roman" w:cs="Times New Roman"/>
                <w:sz w:val="24"/>
                <w:szCs w:val="24"/>
              </w:rPr>
              <w:t xml:space="preserve">міжповірочних</w:t>
            </w:r>
            <w:r>
              <w:rPr>
                <w:rFonts w:ascii="Times New Roman" w:hAnsi="Times New Roman" w:cs="Times New Roman"/>
                <w:sz w:val="24"/>
                <w:szCs w:val="24"/>
              </w:rPr>
              <w:t xml:space="preserve"> інтервалів технічних засобів (приладів контролю)</w:t>
            </w:r>
            <w:r/>
          </w:p>
        </w:tc>
        <w:tc>
          <w:tcPr>
            <w:shd w:val="clear" w:color="auto" w:fill="auto"/>
            <w:tcBorders>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Щорічно</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309"/>
              <w:jc w:val="center"/>
              <w:spacing w:line="240" w:lineRule="auto"/>
              <w:rPr>
                <w:rFonts w:ascii="Times New Roman" w:hAnsi="Times New Roman" w:cs="Times New Roman"/>
                <w:sz w:val="24"/>
                <w:szCs w:val="24"/>
              </w:rPr>
            </w:pPr>
            <w:r>
              <w:rPr>
                <w:rFonts w:ascii="Times New Roman" w:hAnsi="Times New Roman" w:cs="Times New Roman"/>
                <w:b/>
                <w:sz w:val="24"/>
                <w:szCs w:val="24"/>
              </w:rPr>
              <w:t xml:space="preserve">Технічна підтримка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Забезпечення виокремленим менеджером з обробки заявок і звернень</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На період виконання договору</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Віддалене усунення аварій та збоїв. Співпраця зі службами по відновленню електроживлення на точках підключення комплексів</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textDirection w:val="lrTb"/>
            <w:noWrap w:val="false"/>
          </w:tcPr>
          <w:p>
            <w:pPr>
              <w:ind w:left="309"/>
              <w:jc w:val="center"/>
              <w:spacing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r>
        <w:trPr>
          <w:trHeight w:val="1530"/>
        </w:trPr>
        <w:tc>
          <w:tcPr>
            <w:shd w:val="clear" w:color="auto" w:fill="auto"/>
            <w:tcBorders>
              <w:top w:val="single" w:color="00000A" w:sz="4" w:space="0"/>
              <w:left w:val="single" w:color="00000A" w:sz="4" w:space="0"/>
              <w:right w:val="single" w:color="00000A" w:sz="4" w:space="0"/>
            </w:tcBorders>
            <w:tcW w:w="6677" w:type="dxa"/>
            <w:vMerge w:val="restart"/>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Аварійний виїзд ремонтної бригади для усунення аварій</w:t>
            </w:r>
            <w:r>
              <w:rPr>
                <w:rFonts w:ascii="Times New Roman" w:hAnsi="Times New Roman" w:cs="Times New Roman"/>
                <w:sz w:val="24"/>
                <w:szCs w:val="24"/>
              </w:rPr>
              <w:t xml:space="preserve">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Pr>
                <w:rFonts w:ascii="Times New Roman" w:hAnsi="Times New Roman" w:cs="Times New Roman"/>
                <w:sz w:val="24"/>
                <w:szCs w:val="24"/>
                <w:lang w:val="en-US"/>
              </w:rPr>
              <w:t xml:space="preserve">SSD</w:t>
            </w:r>
            <w:r>
              <w:rPr>
                <w:rFonts w:ascii="Times New Roman" w:hAnsi="Times New Roman" w:cs="Times New Roman"/>
                <w:sz w:val="24"/>
                <w:szCs w:val="24"/>
              </w:rPr>
              <w:t xml:space="preserve">, </w:t>
            </w:r>
            <w:r>
              <w:rPr>
                <w:rFonts w:ascii="Times New Roman" w:hAnsi="Times New Roman" w:cs="Times New Roman"/>
                <w:sz w:val="24"/>
                <w:szCs w:val="24"/>
              </w:rPr>
              <w:t xml:space="preserve">роутера</w:t>
            </w:r>
            <w:r>
              <w:rPr>
                <w:rFonts w:ascii="Times New Roman" w:hAnsi="Times New Roman" w:cs="Times New Roman"/>
                <w:sz w:val="24"/>
                <w:szCs w:val="24"/>
              </w:rPr>
              <w:t xml:space="preserve"> та інших складових комплексу, </w:t>
            </w:r>
            <w:r>
              <w:rPr>
                <w:rFonts w:ascii="Times New Roman" w:hAnsi="Times New Roman" w:cs="Times New Roman"/>
                <w:sz w:val="24"/>
                <w:szCs w:val="24"/>
              </w:rPr>
              <w:t xml:space="preserve">для заміни яких не потрібен демонтаж комплексу (дрібний ремонт без залучення сервісного центру). При вартості складових, що становить менше 3000,00 грн з ПДВ, за рахунок Виконавця, при вартості, що становить більше 3000,00 грн з ПДВ – за рахунок Замовника.</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textDirection w:val="lrTb"/>
            <w:noWrap w:val="false"/>
          </w:tcPr>
          <w:p>
            <w:pPr>
              <w:ind w:left="309"/>
              <w:jc w:val="center"/>
              <w:spacing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Відновлення роботи комплексу протягом та максимум трьох діб з моменту виявлення непрацездатності</w:t>
            </w:r>
            <w:r/>
          </w:p>
        </w:tc>
      </w:tr>
      <w:tr>
        <w:trPr>
          <w:trHeight w:val="915"/>
        </w:trPr>
        <w:tc>
          <w:tcPr>
            <w:shd w:val="clear" w:color="auto" w:fill="auto"/>
            <w:tcBorders>
              <w:left w:val="single" w:color="00000A" w:sz="4" w:space="0"/>
              <w:right w:val="single" w:color="00000A" w:sz="4" w:space="0"/>
            </w:tcBorders>
            <w:tcW w:w="6677" w:type="dxa"/>
            <w:vMerge w:val="continue"/>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Заміна складових впродовж тижня</w:t>
            </w:r>
            <w:r/>
          </w:p>
        </w:tc>
      </w:tr>
      <w:tr>
        <w:trPr>
          <w:trHeight w:val="915"/>
        </w:trPr>
        <w:tc>
          <w:tcPr>
            <w:shd w:val="clear" w:color="auto" w:fill="auto"/>
            <w:tcBorders>
              <w:left w:val="single" w:color="00000A" w:sz="4" w:space="0"/>
              <w:right w:val="single" w:color="00000A" w:sz="4" w:space="0"/>
            </w:tcBorders>
            <w:tcW w:w="6677" w:type="dxa"/>
            <w:vMerge w:val="continue"/>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Повідомлення офіційним листом Замовнику про потребу в замовленні складових та неможливість вкластися в терміни</w:t>
            </w:r>
            <w:r/>
          </w:p>
        </w:tc>
      </w:tr>
      <w:tr>
        <w:trPr>
          <w:trHeight w:val="1530"/>
        </w:trPr>
        <w:tc>
          <w:tcPr>
            <w:shd w:val="clear" w:color="auto" w:fill="auto"/>
            <w:tcBorders>
              <w:left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 потребі в ремонті, здійсненні демонтажу</w:t>
            </w:r>
            <w:r/>
          </w:p>
        </w:tc>
      </w:tr>
      <w:tr>
        <w:trPr>
          <w:trHeight w:val="1530"/>
        </w:trPr>
        <w:tc>
          <w:tcPr>
            <w:shd w:val="clear" w:color="auto" w:fill="auto"/>
            <w:tcBorders>
              <w:left w:val="single" w:color="00000A" w:sz="4" w:space="0"/>
              <w:bottom w:val="single" w:color="00000A" w:sz="4" w:space="0"/>
              <w:right w:val="single" w:color="00000A" w:sz="4" w:space="0"/>
            </w:tcBorders>
            <w:tcW w:w="6677" w:type="dxa"/>
            <w:textDirection w:val="lrTb"/>
            <w:noWrap w:val="false"/>
          </w:tcPr>
          <w:p>
            <w:pPr>
              <w:ind w:left="176"/>
              <w:jc w:val="both"/>
              <w:spacing w:after="200" w:line="240" w:lineRule="auto"/>
              <w:shd w:val="clear" w:color="auto" w:fill="ffffff"/>
              <w:tabs>
                <w:tab w:val="left" w:pos="459" w:leader="none"/>
              </w:tabs>
              <w:rPr>
                <w:rFonts w:ascii="Times New Roman" w:hAnsi="Times New Roman" w:cs="Times New Roman"/>
                <w:sz w:val="24"/>
                <w:szCs w:val="24"/>
                <w:highlight w:val="yellow"/>
              </w:rPr>
            </w:pPr>
            <w:r>
              <w:rPr>
                <w:rFonts w:ascii="Times New Roman" w:hAnsi="Times New Roman" w:cs="Times New Roman"/>
                <w:sz w:val="24"/>
                <w:szCs w:val="24"/>
              </w:rPr>
              <w:t xml:space="preserve">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w:t>
            </w:r>
            <w:r>
              <w:rPr>
                <w:rFonts w:ascii="Times New Roman" w:hAnsi="Times New Roman" w:cs="Times New Roman"/>
                <w:sz w:val="24"/>
                <w:szCs w:val="24"/>
              </w:rPr>
              <w:t xml:space="preserve">лей якісними за власний рахунок. Примітка: перевірка 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r/>
          </w:p>
        </w:tc>
        <w:tc>
          <w:tcPr>
            <w:shd w:val="clear" w:color="auto" w:fill="auto"/>
            <w:tcBorders>
              <w:top w:val="single" w:color="00000A" w:sz="4" w:space="0"/>
              <w:left w:val="single" w:color="00000A" w:sz="4" w:space="0"/>
              <w:bottom w:val="single" w:color="00000A" w:sz="4" w:space="0"/>
              <w:right w:val="single" w:color="00000A" w:sz="4" w:space="0"/>
            </w:tcBorders>
            <w:tcW w:w="3241" w:type="dxa"/>
            <w:vAlign w:val="center"/>
            <w:textDirection w:val="lrTb"/>
            <w:noWrap w:val="false"/>
          </w:tcPr>
          <w:p>
            <w:pPr>
              <w:ind w:left="309"/>
              <w:jc w:val="center"/>
              <w:spacing w:line="240" w:lineRule="auto"/>
              <w:rPr>
                <w:rFonts w:ascii="Times New Roman" w:hAnsi="Times New Roman" w:cs="Times New Roman"/>
                <w:sz w:val="24"/>
                <w:szCs w:val="24"/>
                <w:highlight w:val="yellow"/>
                <w:lang w:eastAsia="uk-UA"/>
              </w:rPr>
            </w:pPr>
            <w:r>
              <w:rPr>
                <w:rFonts w:ascii="Times New Roman" w:hAnsi="Times New Roman" w:cs="Times New Roman"/>
                <w:sz w:val="24"/>
                <w:szCs w:val="24"/>
                <w:lang w:eastAsia="uk-UA"/>
              </w:rPr>
              <w:t xml:space="preserve">При заміні складових впродовж тижня (або більше тижня при повідомленні Замовника про причини </w:t>
            </w:r>
            <w:r>
              <w:rPr>
                <w:rFonts w:ascii="Times New Roman" w:hAnsi="Times New Roman" w:cs="Times New Roman"/>
                <w:sz w:val="24"/>
                <w:szCs w:val="24"/>
                <w:lang w:eastAsia="uk-UA"/>
              </w:rPr>
              <w:t xml:space="preserve">протермінування</w:t>
            </w:r>
            <w:r>
              <w:rPr>
                <w:rFonts w:ascii="Times New Roman" w:hAnsi="Times New Roman" w:cs="Times New Roman"/>
                <w:sz w:val="24"/>
                <w:szCs w:val="24"/>
                <w:lang w:eastAsia="uk-UA"/>
              </w:rPr>
              <w:t xml:space="preserve">) або при ремонті комплексу</w:t>
            </w:r>
            <w:r/>
          </w:p>
        </w:tc>
      </w:tr>
    </w:tbl>
    <w:p>
      <w:pPr>
        <w:ind w:left="360"/>
        <w:spacing w:after="20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p>
      <w:pPr>
        <w:ind w:left="360"/>
        <w:spacing w:after="20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4. Вимоги до послуг із супроводження та технічного обслуговування</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Комплексів автоматичної фото/</w:t>
      </w:r>
      <w:r>
        <w:rPr>
          <w:rFonts w:ascii="Times New Roman" w:hAnsi="Times New Roman" w:cs="Times New Roman"/>
          <w:b/>
          <w:sz w:val="24"/>
          <w:szCs w:val="24"/>
          <w:lang w:eastAsia="uk-UA"/>
        </w:rPr>
        <w:t xml:space="preserve">відеофіксації</w:t>
      </w:r>
      <w:r>
        <w:rPr>
          <w:rFonts w:ascii="Times New Roman" w:hAnsi="Times New Roman" w:cs="Times New Roman"/>
          <w:b/>
          <w:sz w:val="24"/>
          <w:szCs w:val="24"/>
          <w:lang w:eastAsia="uk-UA"/>
        </w:rPr>
        <w:t xml:space="preserve"> правопорушень у сфері безпеки дорожнього руху </w:t>
      </w:r>
      <w:r>
        <w:rPr>
          <w:rFonts w:ascii="Times New Roman" w:hAnsi="Times New Roman" w:cs="Times New Roman"/>
          <w:sz w:val="24"/>
          <w:szCs w:val="24"/>
        </w:rPr>
        <w:t xml:space="preserve"> </w:t>
      </w:r>
      <w:r>
        <w:rPr>
          <w:rFonts w:ascii="Times New Roman" w:hAnsi="Times New Roman" w:cs="Times New Roman"/>
          <w:b/>
          <w:bCs/>
          <w:sz w:val="24"/>
          <w:szCs w:val="24"/>
        </w:rPr>
        <w:t xml:space="preserve">«</w:t>
      </w:r>
      <w:r>
        <w:rPr>
          <w:rFonts w:ascii="Times New Roman" w:hAnsi="Times New Roman" w:eastAsia="Calibri" w:cs="Times New Roman"/>
          <w:b/>
          <w:bCs/>
          <w:sz w:val="24"/>
          <w:szCs w:val="24"/>
          <w:lang w:val="en-US"/>
        </w:rPr>
        <w:t xml:space="preserve">EXPERT</w:t>
      </w:r>
      <w:r>
        <w:rPr>
          <w:rFonts w:ascii="Times New Roman" w:hAnsi="Times New Roman" w:eastAsia="Calibri" w:cs="Times New Roman"/>
          <w:b/>
          <w:bCs/>
          <w:sz w:val="24"/>
          <w:szCs w:val="24"/>
        </w:rPr>
        <w:t xml:space="preserve">-</w:t>
      </w:r>
      <w:r>
        <w:rPr>
          <w:rFonts w:ascii="Times New Roman" w:hAnsi="Times New Roman" w:eastAsia="Calibri" w:cs="Times New Roman"/>
          <w:b/>
          <w:bCs/>
          <w:sz w:val="24"/>
          <w:szCs w:val="24"/>
          <w:lang w:val="en-US"/>
        </w:rPr>
        <w:t xml:space="preserve">FS</w:t>
      </w:r>
      <w:r>
        <w:rPr>
          <w:rFonts w:ascii="Times New Roman" w:hAnsi="Times New Roman" w:cs="Times New Roman"/>
          <w:b/>
          <w:bCs/>
          <w:sz w:val="24"/>
          <w:szCs w:val="24"/>
          <w:lang w:eastAsia="uk-UA"/>
        </w:rPr>
        <w:t xml:space="preserve">»</w:t>
      </w:r>
      <w:r>
        <w:rPr>
          <w:rFonts w:ascii="Times New Roman" w:hAnsi="Times New Roman" w:cs="Times New Roman"/>
          <w:b/>
          <w:sz w:val="24"/>
          <w:szCs w:val="24"/>
          <w:lang w:eastAsia="uk-UA"/>
        </w:rPr>
        <w:t xml:space="preserve">.</w:t>
      </w:r>
      <w:r/>
    </w:p>
    <w:p>
      <w:pPr>
        <w:numPr>
          <w:ilvl w:val="0"/>
          <w:numId w:val="3"/>
        </w:numPr>
        <w:contextualSpacing/>
        <w:jc w:val="both"/>
        <w:spacing w:after="20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 xml:space="preserve">Технічне обслуговування Комплексів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sz w:val="24"/>
          <w:szCs w:val="24"/>
          <w:shd w:val="clear" w:color="auto" w:fill="ffffff"/>
        </w:rPr>
        <w:t xml:space="preserve">»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sz w:val="24"/>
          <w:szCs w:val="24"/>
          <w:shd w:val="clear" w:color="auto" w:fill="ffffff"/>
        </w:rPr>
        <w:t xml:space="preserve">».</w:t>
      </w:r>
      <w:r/>
    </w:p>
    <w:p>
      <w:pPr>
        <w:numPr>
          <w:ilvl w:val="0"/>
          <w:numId w:val="3"/>
        </w:numPr>
        <w:contextualSpacing/>
        <w:jc w:val="both"/>
        <w:spacing w:after="20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Під час </w:t>
      </w:r>
      <w:r>
        <w:rPr>
          <w:rFonts w:ascii="Times New Roman" w:hAnsi="Times New Roman" w:eastAsia="Calibri" w:cs="Times New Roman"/>
          <w:sz w:val="24"/>
          <w:szCs w:val="24"/>
          <w:shd w:val="clear" w:color="auto" w:fill="ffffff"/>
        </w:rPr>
        <w:t xml:space="preserve">надання послуг з технічного обслуговування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sz w:val="24"/>
          <w:szCs w:val="24"/>
          <w:shd w:val="clear" w:color="auto" w:fill="ffffff"/>
        </w:rPr>
        <w:t xml:space="preserve">», відповідно до технічної та експлуатаційної документації.</w:t>
      </w:r>
      <w:r/>
    </w:p>
    <w:p>
      <w:pPr>
        <w:numPr>
          <w:ilvl w:val="0"/>
          <w:numId w:val="3"/>
        </w:numPr>
        <w:contextualSpacing/>
        <w:jc w:val="both"/>
        <w:spacing w:after="150" w:line="240" w:lineRule="auto"/>
        <w:shd w:val="clear" w:color="auto" w:fill="ffffff"/>
        <w:rPr>
          <w:rFonts w:ascii="Times New Roman" w:hAnsi="Times New Roman" w:cs="Times New Roman"/>
          <w:sz w:val="24"/>
          <w:szCs w:val="24"/>
        </w:rPr>
      </w:pPr>
      <w:r>
        <w:rPr>
          <w:rFonts w:ascii="Times New Roman" w:hAnsi="Times New Roman" w:eastAsia="Calibri" w:cs="Times New Roman"/>
          <w:sz w:val="24"/>
          <w:szCs w:val="24"/>
          <w:shd w:val="clear" w:color="auto" w:fill="ffffff"/>
        </w:rPr>
        <w:t xml:space="preserve">Результати послуг заносяться в журнали технічного стану (формуляр). </w:t>
      </w:r>
      <w:r/>
    </w:p>
    <w:p>
      <w:pPr>
        <w:numPr>
          <w:ilvl w:val="0"/>
          <w:numId w:val="3"/>
        </w:numPr>
        <w:contextualSpacing/>
        <w:jc w:val="both"/>
        <w:spacing w:after="15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 xml:space="preserve">По результатам виконаних послуг Виконавцем складається </w:t>
      </w:r>
      <w:r>
        <w:rPr>
          <w:rFonts w:ascii="Times New Roman" w:hAnsi="Times New Roman" w:eastAsia="Calibri" w:cs="Times New Roman"/>
          <w:b/>
          <w:bCs/>
          <w:sz w:val="24"/>
          <w:szCs w:val="24"/>
          <w:shd w:val="clear" w:color="auto" w:fill="ffffff"/>
        </w:rPr>
        <w:t xml:space="preserve">Акт обстеження</w:t>
      </w:r>
      <w:r>
        <w:rPr>
          <w:rFonts w:ascii="Times New Roman" w:hAnsi="Times New Roman" w:eastAsia="Calibri" w:cs="Times New Roman"/>
          <w:sz w:val="24"/>
          <w:szCs w:val="24"/>
          <w:shd w:val="clear" w:color="auto" w:fill="ffffff"/>
        </w:rPr>
        <w:t xml:space="preserve"> з інформацією стосовно кожного Комплексу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sz w:val="24"/>
          <w:szCs w:val="24"/>
          <w:shd w:val="clear" w:color="auto" w:fill="ffffff"/>
        </w:rPr>
        <w:t xml:space="preserve">»:</w:t>
      </w:r>
      <w:r/>
    </w:p>
    <w:p>
      <w:pPr>
        <w:contextualSpacing/>
        <w:ind w:left="720"/>
        <w:jc w:val="both"/>
        <w:spacing w:after="150" w:line="240" w:lineRule="auto"/>
        <w:shd w:val="clear" w:color="auto" w:fill="ffffff"/>
        <w:rPr>
          <w:rFonts w:ascii="Times New Roman" w:hAnsi="Times New Roman" w:cs="Times New Roman"/>
          <w:sz w:val="24"/>
          <w:szCs w:val="24"/>
        </w:rPr>
      </w:pPr>
      <w:r>
        <w:rPr>
          <w:rFonts w:ascii="Times New Roman" w:hAnsi="Times New Roman" w:eastAsia="Calibri" w:cs="Times New Roman"/>
          <w:sz w:val="24"/>
          <w:szCs w:val="24"/>
          <w:shd w:val="clear" w:color="auto" w:fill="ffffff"/>
        </w:rPr>
        <w:t xml:space="preserve">- </w:t>
      </w:r>
      <w:r>
        <w:rPr>
          <w:rFonts w:ascii="Times New Roman" w:hAnsi="Times New Roman" w:cs="Times New Roman"/>
          <w:sz w:val="24"/>
          <w:szCs w:val="24"/>
        </w:rPr>
        <w:t xml:space="preserve">результати технічного обстеження;</w:t>
      </w:r>
      <w:r/>
    </w:p>
    <w:p>
      <w:pPr>
        <w:contextualSpacing/>
        <w:ind w:left="720"/>
        <w:jc w:val="both"/>
        <w:spacing w:after="15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оцінка технічного стану;</w:t>
      </w:r>
      <w:r/>
    </w:p>
    <w:p>
      <w:pPr>
        <w:contextualSpacing/>
        <w:ind w:left="720"/>
        <w:jc w:val="both"/>
        <w:spacing w:after="15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рекомендації щодо подальшої експлуатації, ремонту, реконструкції, відновлення, оновлення, заміни або виведення з експлуатації.</w:t>
      </w:r>
      <w:r/>
    </w:p>
    <w:p>
      <w:pPr>
        <w:numPr>
          <w:ilvl w:val="0"/>
          <w:numId w:val="3"/>
        </w:numPr>
        <w:contextualSpacing/>
        <w:jc w:val="both"/>
        <w:spacing w:after="20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 xml:space="preserve"> Усі послуги з технічної експлуатації виконуються з дотриманням </w:t>
      </w:r>
      <w:hyperlink r:id="rId11" w:tooltip="https://zakon.rada.gov.ua/laws/show/z0093-98" w:history="1">
        <w:r>
          <w:rPr>
            <w:rFonts w:ascii="Times New Roman" w:hAnsi="Times New Roman" w:eastAsia="Calibri" w:cs="Times New Roman"/>
            <w:sz w:val="24"/>
            <w:szCs w:val="24"/>
            <w:shd w:val="clear" w:color="auto" w:fill="ffffff"/>
          </w:rPr>
          <w:t xml:space="preserve">Правил безпечної експлуатації електроустановок споживачів</w:t>
        </w:r>
      </w:hyperlink>
      <w:r>
        <w:rPr>
          <w:rFonts w:ascii="Times New Roman" w:hAnsi="Times New Roman" w:eastAsia="Calibri" w:cs="Times New Roman"/>
          <w:sz w:val="24"/>
          <w:szCs w:val="24"/>
          <w:shd w:val="clear" w:color="auto" w:fill="ffffff"/>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Pr>
          <w:rFonts w:ascii="Times New Roman" w:hAnsi="Times New Roman" w:eastAsia="Calibri" w:cs="Times New Roman"/>
          <w:sz w:val="24"/>
          <w:szCs w:val="24"/>
          <w:shd w:val="clear" w:color="auto" w:fill="ffffff"/>
        </w:rPr>
        <w:br/>
        <w:t xml:space="preserve">№ 93/2533, </w:t>
      </w:r>
      <w:hyperlink r:id="rId12" w:tooltip="https://zakon.rada.gov.ua/laws/show/z0252-15#_blank" w:anchor="_blank" w:history="1">
        <w:r>
          <w:rPr>
            <w:rFonts w:ascii="Times New Roman" w:hAnsi="Times New Roman" w:eastAsia="Calibri" w:cs="Times New Roman"/>
            <w:sz w:val="24"/>
            <w:szCs w:val="24"/>
          </w:rPr>
          <w:t xml:space="preserve">Правил пожежної безпеки в Україні</w:t>
        </w:r>
      </w:hyperlink>
      <w:r>
        <w:rPr>
          <w:rFonts w:ascii="Times New Roman" w:hAnsi="Times New Roman" w:eastAsia="Calibri" w:cs="Times New Roman"/>
          <w:sz w:val="24"/>
          <w:szCs w:val="24"/>
          <w:shd w:val="clear" w:color="auto" w:fill="ffffff"/>
        </w:rPr>
        <w:t xml:space="preserve">, </w:t>
      </w:r>
      <w:r>
        <w:rPr>
          <w:rFonts w:ascii="Times New Roman" w:hAnsi="Times New Roman" w:eastAsia="Calibri" w:cs="Times New Roman"/>
          <w:sz w:val="24"/>
          <w:szCs w:val="24"/>
          <w:shd w:val="clear" w:color="auto" w:fill="ffffff"/>
        </w:rPr>
        <w:t xml:space="preserve">затверджених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w:t>
      </w:r>
      <w:r>
        <w:rPr>
          <w:rFonts w:ascii="Times New Roman" w:hAnsi="Times New Roman" w:eastAsia="Calibri" w:cs="Times New Roman"/>
          <w:bCs/>
          <w:sz w:val="24"/>
          <w:szCs w:val="24"/>
          <w:lang w:val="en-US"/>
        </w:rPr>
        <w:t xml:space="preserve">EXPERT</w:t>
      </w:r>
      <w:r>
        <w:rPr>
          <w:rFonts w:ascii="Times New Roman" w:hAnsi="Times New Roman" w:eastAsia="Calibri" w:cs="Times New Roman"/>
          <w:bCs/>
          <w:sz w:val="24"/>
          <w:szCs w:val="24"/>
        </w:rPr>
        <w:t xml:space="preserve">-</w:t>
      </w:r>
      <w:r>
        <w:rPr>
          <w:rFonts w:ascii="Times New Roman" w:hAnsi="Times New Roman" w:eastAsia="Calibri" w:cs="Times New Roman"/>
          <w:bCs/>
          <w:sz w:val="24"/>
          <w:szCs w:val="24"/>
          <w:lang w:val="en-US"/>
        </w:rPr>
        <w:t xml:space="preserve">FS</w:t>
      </w:r>
      <w:r>
        <w:rPr>
          <w:rFonts w:ascii="Times New Roman" w:hAnsi="Times New Roman" w:eastAsia="Calibri" w:cs="Times New Roman"/>
          <w:sz w:val="24"/>
          <w:szCs w:val="24"/>
          <w:shd w:val="clear" w:color="auto" w:fill="ffffff"/>
        </w:rPr>
        <w:t xml:space="preserve">».</w:t>
      </w:r>
      <w:r/>
    </w:p>
    <w:p>
      <w:pPr>
        <w:numPr>
          <w:ilvl w:val="0"/>
          <w:numId w:val="3"/>
        </w:numPr>
        <w:contextualSpacing/>
        <w:jc w:val="both"/>
        <w:spacing w:after="200" w:line="240" w:lineRule="auto"/>
        <w:rPr>
          <w:rFonts w:ascii="Times New Roman" w:hAnsi="Times New Roman" w:eastAsia="Calibri" w:cs="Times New Roman"/>
          <w:sz w:val="24"/>
          <w:szCs w:val="24"/>
          <w:highlight w:val="white"/>
        </w:rPr>
      </w:pPr>
      <w:r>
        <w:rPr>
          <w:rFonts w:ascii="Times New Roman" w:hAnsi="Times New Roman" w:eastAsia="Calibri" w:cs="Times New Roman"/>
          <w:sz w:val="24"/>
          <w:szCs w:val="24"/>
          <w:shd w:val="clear" w:color="auto" w:fill="ffffff"/>
        </w:rPr>
        <w:t xml:space="preserve">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r/>
    </w:p>
    <w:p>
      <w:pPr>
        <w:contextualSpacing/>
        <w:spacing w:line="240" w:lineRule="auto"/>
        <w:rPr>
          <w:rFonts w:ascii="Times New Roman" w:hAnsi="Times New Roman" w:cs="Times New Roman"/>
          <w:b/>
          <w:sz w:val="24"/>
          <w:szCs w:val="24"/>
        </w:rPr>
      </w:pPr>
      <w:r>
        <w:rPr>
          <w:rFonts w:ascii="Times New Roman" w:hAnsi="Times New Roman" w:cs="Times New Roman"/>
          <w:b/>
          <w:sz w:val="24"/>
          <w:szCs w:val="24"/>
        </w:rPr>
      </w:r>
      <w:r/>
    </w:p>
    <w:p>
      <w:pPr>
        <w:jc w:val="center"/>
        <w:spacing w:before="20" w:after="20" w:line="240" w:lineRule="auto"/>
        <w:rPr>
          <w:rFonts w:ascii="Times New Roman" w:hAnsi="Times New Roman" w:cs="Times New Roman"/>
          <w:b/>
          <w:sz w:val="24"/>
          <w:szCs w:val="24"/>
        </w:rPr>
      </w:pPr>
      <w:r>
        <w:rPr>
          <w:rFonts w:ascii="Times New Roman" w:hAnsi="Times New Roman" w:cs="Times New Roman"/>
          <w:b/>
          <w:sz w:val="24"/>
          <w:szCs w:val="24"/>
        </w:rPr>
        <w:t xml:space="preserve">Додаткова інформація.</w:t>
      </w:r>
      <w:r/>
    </w:p>
    <w:p>
      <w:pPr>
        <w:ind w:firstLine="709"/>
        <w:jc w:val="both"/>
        <w:spacing w:after="20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t xml:space="preserve">У разі в</w:t>
      </w:r>
      <w:r>
        <w:rPr>
          <w:rFonts w:ascii="Times New Roman" w:hAnsi="Times New Roman" w:cs="Times New Roman"/>
          <w:b/>
          <w:bCs/>
          <w:i/>
          <w:iCs/>
          <w:sz w:val="24"/>
          <w:szCs w:val="24"/>
          <w:lang w:eastAsia="uk-UA"/>
        </w:rPr>
        <w:t xml:space="preserve">икористання в тендерній документації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w:t>
      </w:r>
      <w:r>
        <w:rPr>
          <w:rFonts w:ascii="Times New Roman" w:hAnsi="Times New Roman" w:cs="Times New Roman"/>
          <w:b/>
          <w:bCs/>
          <w:i/>
          <w:iCs/>
          <w:sz w:val="24"/>
          <w:szCs w:val="24"/>
          <w:lang w:eastAsia="uk-UA"/>
        </w:rPr>
        <w:t xml:space="preserve">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w:t>
      </w:r>
      <w:r>
        <w:rPr>
          <w:rFonts w:ascii="Times New Roman" w:hAnsi="Times New Roman" w:cs="Times New Roman"/>
          <w:b/>
          <w:bCs/>
          <w:i/>
          <w:iCs/>
          <w:sz w:val="24"/>
          <w:szCs w:val="24"/>
          <w:u w:val="single"/>
          <w:lang w:eastAsia="uk-UA"/>
        </w:rPr>
        <w:t xml:space="preserve">"або еквівалент"</w:t>
      </w:r>
      <w:r>
        <w:rPr>
          <w:rFonts w:ascii="Times New Roman" w:hAnsi="Times New Roman" w:cs="Times New Roman"/>
          <w:b/>
          <w:bCs/>
          <w:i/>
          <w:iCs/>
          <w:sz w:val="24"/>
          <w:szCs w:val="24"/>
          <w:lang w:eastAsia="uk-UA"/>
        </w:rPr>
        <w:t xml:space="preserve">.</w:t>
      </w:r>
      <w:r/>
    </w:p>
    <w:p>
      <w:pPr>
        <w:ind w:right="-1"/>
        <w:jc w:val="both"/>
        <w:spacing w:after="0" w:line="240" w:lineRule="auto"/>
        <w:widowControl w:val="off"/>
        <w:rPr>
          <w:rFonts w:ascii="Times New Roman" w:hAnsi="Times New Roman" w:cs="Times New Roman"/>
          <w:b/>
          <w:bCs/>
          <w:i/>
          <w:iCs/>
          <w:sz w:val="24"/>
          <w:szCs w:val="24"/>
          <w:u w:val="single"/>
          <w:lang w:eastAsia="uk-UA"/>
        </w:rPr>
      </w:pPr>
      <w:r>
        <w:rPr>
          <w:rFonts w:ascii="Times New Roman" w:hAnsi="Times New Roman" w:cs="Times New Roman"/>
          <w:b/>
          <w:bCs/>
          <w:i/>
          <w:iCs/>
          <w:sz w:val="24"/>
          <w:szCs w:val="24"/>
          <w:lang w:eastAsia="uk-UA"/>
        </w:rPr>
        <w:t xml:space="preserve">У разі використання в тендерній документації посилання на к</w:t>
      </w:r>
      <w:r>
        <w:rPr>
          <w:rFonts w:ascii="Times New Roman" w:hAnsi="Times New Roman" w:cs="Times New Roman"/>
          <w:b/>
          <w:bCs/>
          <w:i/>
          <w:iCs/>
          <w:sz w:val="24"/>
          <w:szCs w:val="24"/>
          <w:lang w:eastAsia="uk-UA"/>
        </w:rPr>
        <w:t xml:space="preserve">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w:t>
      </w:r>
      <w:r>
        <w:rPr>
          <w:rFonts w:ascii="Times New Roman" w:hAnsi="Times New Roman" w:cs="Times New Roman"/>
          <w:b/>
          <w:bCs/>
          <w:i/>
          <w:iCs/>
          <w:sz w:val="24"/>
          <w:szCs w:val="24"/>
          <w:u w:val="single"/>
          <w:lang w:eastAsia="uk-UA"/>
        </w:rPr>
        <w:t xml:space="preserve">"або еквівалент"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2 820 000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два</w:t>
      </w:r>
      <w:r>
        <w:rPr>
          <w:rFonts w:ascii="Times New Roman" w:hAnsi="Times New Roman" w:eastAsia="Times New Roman" w:cs="Times New Roman"/>
          <w:sz w:val="24"/>
          <w:szCs w:val="24"/>
          <w:lang w:eastAsia="ru-RU"/>
        </w:rPr>
        <w:t xml:space="preserve"> мільйон</w:t>
      </w:r>
      <w:r>
        <w:rPr>
          <w:rFonts w:ascii="Times New Roman" w:hAnsi="Times New Roman" w:eastAsia="Times New Roman" w:cs="Times New Roman"/>
          <w:sz w:val="24"/>
          <w:szCs w:val="24"/>
          <w:lang w:eastAsia="ru-RU"/>
        </w:rPr>
        <w:t xml:space="preserve">и</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вісімсот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двадцять</w:t>
      </w:r>
      <w:r>
        <w:rPr>
          <w:rFonts w:ascii="Times New Roman" w:hAnsi="Times New Roman" w:eastAsia="Times New Roman" w:cs="Times New Roman"/>
          <w:sz w:val="24"/>
          <w:szCs w:val="24"/>
          <w:lang w:eastAsia="ru-RU"/>
        </w:rPr>
        <w:t xml:space="preserve"> тисяч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поданих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71"/>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524" w:hanging="360"/>
      </w:pPr>
      <w:rPr>
        <w:rFonts w:hint="default"/>
        <w:b w:val="0"/>
      </w:rPr>
    </w:lvl>
    <w:lvl w:ilvl="1">
      <w:start w:val="1"/>
      <w:numFmt w:val="lowerLetter"/>
      <w:isLgl w:val="false"/>
      <w:suff w:val="tab"/>
      <w:lvlText w:val="%2."/>
      <w:lvlJc w:val="left"/>
      <w:pPr>
        <w:ind w:left="1244" w:hanging="360"/>
      </w:pPr>
    </w:lvl>
    <w:lvl w:ilvl="2">
      <w:start w:val="1"/>
      <w:numFmt w:val="lowerRoman"/>
      <w:isLgl w:val="false"/>
      <w:suff w:val="tab"/>
      <w:lvlText w:val="%3."/>
      <w:lvlJc w:val="right"/>
      <w:pPr>
        <w:ind w:left="1964" w:hanging="180"/>
      </w:pPr>
    </w:lvl>
    <w:lvl w:ilvl="3">
      <w:start w:val="1"/>
      <w:numFmt w:val="decimal"/>
      <w:isLgl w:val="false"/>
      <w:suff w:val="tab"/>
      <w:lvlText w:val="%4."/>
      <w:lvlJc w:val="left"/>
      <w:pPr>
        <w:ind w:left="2684" w:hanging="360"/>
      </w:pPr>
    </w:lvl>
    <w:lvl w:ilvl="4">
      <w:start w:val="1"/>
      <w:numFmt w:val="lowerLetter"/>
      <w:isLgl w:val="false"/>
      <w:suff w:val="tab"/>
      <w:lvlText w:val="%5."/>
      <w:lvlJc w:val="left"/>
      <w:pPr>
        <w:ind w:left="3404" w:hanging="360"/>
      </w:pPr>
    </w:lvl>
    <w:lvl w:ilvl="5">
      <w:start w:val="1"/>
      <w:numFmt w:val="lowerRoman"/>
      <w:isLgl w:val="false"/>
      <w:suff w:val="tab"/>
      <w:lvlText w:val="%6."/>
      <w:lvlJc w:val="right"/>
      <w:pPr>
        <w:ind w:left="4124" w:hanging="180"/>
      </w:pPr>
    </w:lvl>
    <w:lvl w:ilvl="6">
      <w:start w:val="1"/>
      <w:numFmt w:val="decimal"/>
      <w:isLgl w:val="false"/>
      <w:suff w:val="tab"/>
      <w:lvlText w:val="%7."/>
      <w:lvlJc w:val="left"/>
      <w:pPr>
        <w:ind w:left="4844" w:hanging="360"/>
      </w:pPr>
    </w:lvl>
    <w:lvl w:ilvl="7">
      <w:start w:val="1"/>
      <w:numFmt w:val="lowerLetter"/>
      <w:isLgl w:val="false"/>
      <w:suff w:val="tab"/>
      <w:lvlText w:val="%8."/>
      <w:lvlJc w:val="left"/>
      <w:pPr>
        <w:ind w:left="5564" w:hanging="360"/>
      </w:pPr>
    </w:lvl>
    <w:lvl w:ilvl="8">
      <w:start w:val="1"/>
      <w:numFmt w:val="lowerRoman"/>
      <w:isLgl w:val="false"/>
      <w:suff w:val="tab"/>
      <w:lvlText w:val="%9."/>
      <w:lvlJc w:val="right"/>
      <w:pPr>
        <w:ind w:left="6284" w:hanging="180"/>
      </w:pPr>
    </w:lvl>
  </w:abstractNum>
  <w:abstractNum w:abstractNumId="2">
    <w:multiLevelType w:val="hybridMultilevel"/>
    <w:lvl w:ilvl="0">
      <w:start w:val="1"/>
      <w:numFmt w:val="decimal"/>
      <w:isLgl w:val="false"/>
      <w:suff w:val="tab"/>
      <w:lvlText w:val="%1."/>
      <w:lvlJc w:val="left"/>
      <w:pPr>
        <w:ind w:left="720" w:hanging="360"/>
      </w:pPr>
      <w:rPr>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1440" w:hanging="360"/>
      </w:pPr>
      <w:rPr>
        <w:rFonts w:hint="default" w:ascii="Times New Roman" w:hAnsi="Times New Roman" w:eastAsia="Times New Roman" w:cs="Times New Roman"/>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5">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6"/>
  </w:num>
  <w:num w:numId="2">
    <w:abstractNumId w:val="4"/>
  </w:num>
  <w:num w:numId="3">
    <w:abstractNumId w:val="2"/>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58"/>
    <w:next w:val="65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62"/>
    <w:link w:val="12"/>
    <w:uiPriority w:val="9"/>
    <w:rPr>
      <w:rFonts w:ascii="Arial" w:hAnsi="Arial" w:eastAsia="Arial" w:cs="Arial"/>
      <w:sz w:val="40"/>
      <w:szCs w:val="40"/>
    </w:rPr>
  </w:style>
  <w:style w:type="character" w:styleId="15">
    <w:name w:val="Heading 2 Char"/>
    <w:basedOn w:val="662"/>
    <w:link w:val="659"/>
    <w:uiPriority w:val="9"/>
    <w:rPr>
      <w:rFonts w:ascii="Arial" w:hAnsi="Arial" w:eastAsia="Arial" w:cs="Arial"/>
      <w:sz w:val="34"/>
    </w:rPr>
  </w:style>
  <w:style w:type="character" w:styleId="17">
    <w:name w:val="Heading 3 Char"/>
    <w:basedOn w:val="662"/>
    <w:link w:val="660"/>
    <w:uiPriority w:val="9"/>
    <w:rPr>
      <w:rFonts w:ascii="Arial" w:hAnsi="Arial" w:eastAsia="Arial" w:cs="Arial"/>
      <w:sz w:val="30"/>
      <w:szCs w:val="30"/>
    </w:rPr>
  </w:style>
  <w:style w:type="character" w:styleId="19">
    <w:name w:val="Heading 4 Char"/>
    <w:basedOn w:val="662"/>
    <w:link w:val="661"/>
    <w:uiPriority w:val="9"/>
    <w:rPr>
      <w:rFonts w:ascii="Arial" w:hAnsi="Arial" w:eastAsia="Arial" w:cs="Arial"/>
      <w:b/>
      <w:bCs/>
      <w:sz w:val="26"/>
      <w:szCs w:val="26"/>
    </w:rPr>
  </w:style>
  <w:style w:type="paragraph" w:styleId="20">
    <w:name w:val="Heading 5"/>
    <w:basedOn w:val="658"/>
    <w:next w:val="65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62"/>
    <w:link w:val="20"/>
    <w:uiPriority w:val="9"/>
    <w:rPr>
      <w:rFonts w:ascii="Arial" w:hAnsi="Arial" w:eastAsia="Arial" w:cs="Arial"/>
      <w:b/>
      <w:bCs/>
      <w:sz w:val="24"/>
      <w:szCs w:val="24"/>
    </w:rPr>
  </w:style>
  <w:style w:type="paragraph" w:styleId="22">
    <w:name w:val="Heading 6"/>
    <w:basedOn w:val="658"/>
    <w:next w:val="658"/>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62"/>
    <w:link w:val="22"/>
    <w:uiPriority w:val="9"/>
    <w:rPr>
      <w:rFonts w:ascii="Arial" w:hAnsi="Arial" w:eastAsia="Arial" w:cs="Arial"/>
      <w:b/>
      <w:bCs/>
      <w:sz w:val="22"/>
      <w:szCs w:val="22"/>
    </w:rPr>
  </w:style>
  <w:style w:type="paragraph" w:styleId="24">
    <w:name w:val="Heading 7"/>
    <w:basedOn w:val="658"/>
    <w:next w:val="65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62"/>
    <w:link w:val="24"/>
    <w:uiPriority w:val="9"/>
    <w:rPr>
      <w:rFonts w:ascii="Arial" w:hAnsi="Arial" w:eastAsia="Arial" w:cs="Arial"/>
      <w:b/>
      <w:bCs/>
      <w:i/>
      <w:iCs/>
      <w:sz w:val="22"/>
      <w:szCs w:val="22"/>
    </w:rPr>
  </w:style>
  <w:style w:type="paragraph" w:styleId="26">
    <w:name w:val="Heading 8"/>
    <w:basedOn w:val="658"/>
    <w:next w:val="65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62"/>
    <w:link w:val="26"/>
    <w:uiPriority w:val="9"/>
    <w:rPr>
      <w:rFonts w:ascii="Arial" w:hAnsi="Arial" w:eastAsia="Arial" w:cs="Arial"/>
      <w:i/>
      <w:iCs/>
      <w:sz w:val="22"/>
      <w:szCs w:val="22"/>
    </w:rPr>
  </w:style>
  <w:style w:type="paragraph" w:styleId="28">
    <w:name w:val="Heading 9"/>
    <w:basedOn w:val="658"/>
    <w:next w:val="65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62"/>
    <w:link w:val="28"/>
    <w:uiPriority w:val="9"/>
    <w:rPr>
      <w:rFonts w:ascii="Arial" w:hAnsi="Arial" w:eastAsia="Arial" w:cs="Arial"/>
      <w:i/>
      <w:iCs/>
      <w:sz w:val="21"/>
      <w:szCs w:val="21"/>
    </w:rPr>
  </w:style>
  <w:style w:type="paragraph" w:styleId="33">
    <w:name w:val="Title"/>
    <w:basedOn w:val="658"/>
    <w:next w:val="658"/>
    <w:link w:val="34"/>
    <w:uiPriority w:val="10"/>
    <w:qFormat/>
    <w:pPr>
      <w:contextualSpacing/>
      <w:spacing w:before="300" w:after="200"/>
    </w:pPr>
    <w:rPr>
      <w:sz w:val="48"/>
      <w:szCs w:val="48"/>
    </w:rPr>
  </w:style>
  <w:style w:type="character" w:styleId="34">
    <w:name w:val="Title Char"/>
    <w:basedOn w:val="662"/>
    <w:link w:val="33"/>
    <w:uiPriority w:val="10"/>
    <w:rPr>
      <w:sz w:val="48"/>
      <w:szCs w:val="48"/>
    </w:rPr>
  </w:style>
  <w:style w:type="paragraph" w:styleId="35">
    <w:name w:val="Subtitle"/>
    <w:basedOn w:val="658"/>
    <w:next w:val="658"/>
    <w:link w:val="36"/>
    <w:uiPriority w:val="11"/>
    <w:qFormat/>
    <w:pPr>
      <w:spacing w:before="200" w:after="200"/>
    </w:pPr>
    <w:rPr>
      <w:sz w:val="24"/>
      <w:szCs w:val="24"/>
    </w:rPr>
  </w:style>
  <w:style w:type="character" w:styleId="36">
    <w:name w:val="Subtitle Char"/>
    <w:basedOn w:val="662"/>
    <w:link w:val="35"/>
    <w:uiPriority w:val="11"/>
    <w:rPr>
      <w:sz w:val="24"/>
      <w:szCs w:val="24"/>
    </w:rPr>
  </w:style>
  <w:style w:type="paragraph" w:styleId="37">
    <w:name w:val="Quote"/>
    <w:basedOn w:val="658"/>
    <w:next w:val="658"/>
    <w:link w:val="38"/>
    <w:uiPriority w:val="29"/>
    <w:qFormat/>
    <w:pPr>
      <w:ind w:left="720" w:right="720"/>
    </w:pPr>
    <w:rPr>
      <w:i/>
    </w:rPr>
  </w:style>
  <w:style w:type="character" w:styleId="38">
    <w:name w:val="Quote Char"/>
    <w:link w:val="37"/>
    <w:uiPriority w:val="29"/>
    <w:rPr>
      <w:i/>
    </w:rPr>
  </w:style>
  <w:style w:type="paragraph" w:styleId="39">
    <w:name w:val="Intense Quote"/>
    <w:basedOn w:val="658"/>
    <w:next w:val="65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58"/>
    <w:link w:val="42"/>
    <w:uiPriority w:val="99"/>
    <w:unhideWhenUsed/>
    <w:pPr>
      <w:spacing w:after="0" w:line="240" w:lineRule="auto"/>
      <w:tabs>
        <w:tab w:val="center" w:pos="7143" w:leader="none"/>
        <w:tab w:val="right" w:pos="14287" w:leader="none"/>
      </w:tabs>
    </w:pPr>
  </w:style>
  <w:style w:type="character" w:styleId="42">
    <w:name w:val="Header Char"/>
    <w:basedOn w:val="662"/>
    <w:link w:val="41"/>
    <w:uiPriority w:val="99"/>
  </w:style>
  <w:style w:type="character" w:styleId="44">
    <w:name w:val="Footer Char"/>
    <w:basedOn w:val="662"/>
    <w:link w:val="671"/>
    <w:uiPriority w:val="99"/>
  </w:style>
  <w:style w:type="paragraph" w:styleId="45">
    <w:name w:val="Caption"/>
    <w:basedOn w:val="658"/>
    <w:next w:val="658"/>
    <w:uiPriority w:val="35"/>
    <w:semiHidden/>
    <w:unhideWhenUsed/>
    <w:qFormat/>
    <w:pPr>
      <w:spacing w:line="276" w:lineRule="auto"/>
    </w:pPr>
    <w:rPr>
      <w:b/>
      <w:bCs/>
      <w:color w:val="4f81bd" w:themeColor="accent1"/>
      <w:sz w:val="18"/>
      <w:szCs w:val="18"/>
    </w:rPr>
  </w:style>
  <w:style w:type="character" w:styleId="46">
    <w:name w:val="Caption Char"/>
    <w:basedOn w:val="45"/>
    <w:link w:val="671"/>
    <w:uiPriority w:val="99"/>
  </w:style>
  <w:style w:type="table" w:styleId="48">
    <w:name w:val="Table Grid Light"/>
    <w:basedOn w:val="66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6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6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6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6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6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6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6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6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6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6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6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6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6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6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6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6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6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6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6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6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6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6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6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6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6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6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6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6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6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6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6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6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6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6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6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6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6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6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6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6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6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6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6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6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6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6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6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6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6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6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6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6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6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6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6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6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6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6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6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6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6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6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6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6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6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6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6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6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6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6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6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6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6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6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6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6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6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6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6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6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6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6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6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6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6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6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6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6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6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6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6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6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6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6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6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6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6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6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6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6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6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6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6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6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6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6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6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6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6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6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6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6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5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62"/>
    <w:uiPriority w:val="99"/>
    <w:unhideWhenUsed/>
    <w:rPr>
      <w:vertAlign w:val="superscript"/>
    </w:rPr>
  </w:style>
  <w:style w:type="paragraph" w:styleId="177">
    <w:name w:val="endnote text"/>
    <w:basedOn w:val="65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62"/>
    <w:uiPriority w:val="99"/>
    <w:semiHidden/>
    <w:unhideWhenUsed/>
    <w:rPr>
      <w:vertAlign w:val="superscript"/>
    </w:rPr>
  </w:style>
  <w:style w:type="paragraph" w:styleId="180">
    <w:name w:val="toc 1"/>
    <w:basedOn w:val="658"/>
    <w:next w:val="658"/>
    <w:uiPriority w:val="39"/>
    <w:unhideWhenUsed/>
    <w:pPr>
      <w:ind w:left="0" w:right="0" w:firstLine="0"/>
      <w:spacing w:after="57"/>
    </w:pPr>
  </w:style>
  <w:style w:type="paragraph" w:styleId="181">
    <w:name w:val="toc 2"/>
    <w:basedOn w:val="658"/>
    <w:next w:val="658"/>
    <w:uiPriority w:val="39"/>
    <w:unhideWhenUsed/>
    <w:pPr>
      <w:ind w:left="283" w:right="0" w:firstLine="0"/>
      <w:spacing w:after="57"/>
    </w:pPr>
  </w:style>
  <w:style w:type="paragraph" w:styleId="182">
    <w:name w:val="toc 3"/>
    <w:basedOn w:val="658"/>
    <w:next w:val="658"/>
    <w:uiPriority w:val="39"/>
    <w:unhideWhenUsed/>
    <w:pPr>
      <w:ind w:left="567" w:right="0" w:firstLine="0"/>
      <w:spacing w:after="57"/>
    </w:pPr>
  </w:style>
  <w:style w:type="paragraph" w:styleId="183">
    <w:name w:val="toc 4"/>
    <w:basedOn w:val="658"/>
    <w:next w:val="658"/>
    <w:uiPriority w:val="39"/>
    <w:unhideWhenUsed/>
    <w:pPr>
      <w:ind w:left="850" w:right="0" w:firstLine="0"/>
      <w:spacing w:after="57"/>
    </w:pPr>
  </w:style>
  <w:style w:type="paragraph" w:styleId="184">
    <w:name w:val="toc 5"/>
    <w:basedOn w:val="658"/>
    <w:next w:val="658"/>
    <w:uiPriority w:val="39"/>
    <w:unhideWhenUsed/>
    <w:pPr>
      <w:ind w:left="1134" w:right="0" w:firstLine="0"/>
      <w:spacing w:after="57"/>
    </w:pPr>
  </w:style>
  <w:style w:type="paragraph" w:styleId="185">
    <w:name w:val="toc 6"/>
    <w:basedOn w:val="658"/>
    <w:next w:val="658"/>
    <w:uiPriority w:val="39"/>
    <w:unhideWhenUsed/>
    <w:pPr>
      <w:ind w:left="1417" w:right="0" w:firstLine="0"/>
      <w:spacing w:after="57"/>
    </w:pPr>
  </w:style>
  <w:style w:type="paragraph" w:styleId="186">
    <w:name w:val="toc 7"/>
    <w:basedOn w:val="658"/>
    <w:next w:val="658"/>
    <w:uiPriority w:val="39"/>
    <w:unhideWhenUsed/>
    <w:pPr>
      <w:ind w:left="1701" w:right="0" w:firstLine="0"/>
      <w:spacing w:after="57"/>
    </w:pPr>
  </w:style>
  <w:style w:type="paragraph" w:styleId="187">
    <w:name w:val="toc 8"/>
    <w:basedOn w:val="658"/>
    <w:next w:val="658"/>
    <w:uiPriority w:val="39"/>
    <w:unhideWhenUsed/>
    <w:pPr>
      <w:ind w:left="1984" w:right="0" w:firstLine="0"/>
      <w:spacing w:after="57"/>
    </w:pPr>
  </w:style>
  <w:style w:type="paragraph" w:styleId="188">
    <w:name w:val="toc 9"/>
    <w:basedOn w:val="658"/>
    <w:next w:val="65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58"/>
    <w:next w:val="658"/>
    <w:uiPriority w:val="99"/>
    <w:unhideWhenUsed/>
    <w:pPr>
      <w:spacing w:after="0" w:afterAutospacing="0"/>
    </w:pPr>
  </w:style>
  <w:style w:type="paragraph" w:styleId="658" w:default="1">
    <w:name w:val="Normal"/>
    <w:qFormat/>
    <w:rPr>
      <w:lang w:val="uk-UA"/>
    </w:rPr>
  </w:style>
  <w:style w:type="paragraph" w:styleId="659">
    <w:name w:val="Heading 2"/>
    <w:basedOn w:val="658"/>
    <w:link w:val="680"/>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60">
    <w:name w:val="Heading 3"/>
    <w:basedOn w:val="658"/>
    <w:next w:val="658"/>
    <w:link w:val="697"/>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61">
    <w:name w:val="Heading 4"/>
    <w:basedOn w:val="658"/>
    <w:next w:val="658"/>
    <w:link w:val="698"/>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662" w:default="1">
    <w:name w:val="Default Paragraph Font"/>
    <w:uiPriority w:val="1"/>
    <w:semiHidden/>
    <w:unhideWhenUsed/>
  </w:style>
  <w:style w:type="table" w:styleId="663" w:default="1">
    <w:name w:val="Normal Table"/>
    <w:uiPriority w:val="99"/>
    <w:semiHidden/>
    <w:unhideWhenUsed/>
    <w:tblPr>
      <w:tblInd w:w="0" w:type="dxa"/>
      <w:tblCellMar>
        <w:left w:w="108" w:type="dxa"/>
        <w:top w:w="0" w:type="dxa"/>
        <w:right w:w="108" w:type="dxa"/>
        <w:bottom w:w="0" w:type="dxa"/>
      </w:tblCellMar>
    </w:tblPr>
  </w:style>
  <w:style w:type="numbering" w:styleId="664" w:default="1">
    <w:name w:val="No List"/>
    <w:uiPriority w:val="99"/>
    <w:semiHidden/>
    <w:unhideWhenUsed/>
  </w:style>
  <w:style w:type="paragraph" w:styleId="665">
    <w:name w:val="List Paragraph"/>
    <w:basedOn w:val="658"/>
    <w:link w:val="666"/>
    <w:uiPriority w:val="34"/>
    <w:qFormat/>
    <w:pPr>
      <w:contextualSpacing/>
      <w:ind w:left="720"/>
      <w:spacing w:after="200" w:line="276" w:lineRule="auto"/>
    </w:pPr>
    <w:rPr>
      <w:rFonts w:ascii="Calibri" w:hAnsi="Calibri" w:eastAsia="Calibri" w:cs="Calibri"/>
      <w:lang w:val="ru-RU" w:eastAsia="zh-CN"/>
    </w:rPr>
  </w:style>
  <w:style w:type="character" w:styleId="666" w:customStyle="1">
    <w:name w:val="Абзац списку Знак"/>
    <w:link w:val="665"/>
    <w:uiPriority w:val="34"/>
    <w:qFormat/>
    <w:rPr>
      <w:rFonts w:ascii="Calibri" w:hAnsi="Calibri" w:eastAsia="Calibri" w:cs="Calibri"/>
      <w:lang w:eastAsia="zh-CN"/>
    </w:rPr>
  </w:style>
  <w:style w:type="table" w:styleId="667">
    <w:name w:val="Table Grid"/>
    <w:basedOn w:val="66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68" w:customStyle="1">
    <w:name w:val="Сетка таблицы2"/>
    <w:basedOn w:val="663"/>
    <w:next w:val="667"/>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9">
    <w:name w:val="Normal (Web)"/>
    <w:basedOn w:val="658"/>
    <w:link w:val="676"/>
    <w:unhideWhenUsed/>
    <w:qFormat/>
    <w:rPr>
      <w:rFonts w:ascii="Times New Roman" w:hAnsi="Times New Roman" w:cs="Times New Roman"/>
      <w:sz w:val="24"/>
      <w:szCs w:val="24"/>
    </w:rPr>
  </w:style>
  <w:style w:type="table" w:styleId="670" w:customStyle="1">
    <w:name w:val="Сетка таблицы1"/>
    <w:basedOn w:val="663"/>
    <w:next w:val="667"/>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71">
    <w:name w:val="Footer"/>
    <w:basedOn w:val="658"/>
    <w:link w:val="672"/>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72" w:customStyle="1">
    <w:name w:val="Нижній колонтитул Знак"/>
    <w:basedOn w:val="662"/>
    <w:link w:val="671"/>
    <w:uiPriority w:val="99"/>
    <w:rPr>
      <w:rFonts w:ascii="Calibri" w:hAnsi="Calibri" w:eastAsia="Calibri" w:cs="Calibri"/>
      <w:lang w:eastAsia="zh-CN"/>
    </w:rPr>
  </w:style>
  <w:style w:type="paragraph" w:styleId="673"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74">
    <w:name w:val="Hyperlink"/>
    <w:basedOn w:val="662"/>
    <w:uiPriority w:val="99"/>
    <w:unhideWhenUsed/>
    <w:rPr>
      <w:color w:val="0563c1" w:themeColor="hyperlink"/>
      <w:u w:val="single"/>
    </w:rPr>
  </w:style>
  <w:style w:type="character" w:styleId="675" w:customStyle="1">
    <w:name w:val="xfm_93972720"/>
    <w:basedOn w:val="662"/>
  </w:style>
  <w:style w:type="character" w:styleId="676" w:customStyle="1">
    <w:name w:val="Звичайний (веб) Знак"/>
    <w:link w:val="669"/>
    <w:qFormat/>
    <w:rPr>
      <w:rFonts w:ascii="Times New Roman" w:hAnsi="Times New Roman" w:cs="Times New Roman"/>
      <w:sz w:val="24"/>
      <w:szCs w:val="24"/>
      <w:lang w:val="uk-UA"/>
    </w:rPr>
  </w:style>
  <w:style w:type="paragraph" w:styleId="677">
    <w:name w:val="Body Text 2"/>
    <w:basedOn w:val="658"/>
    <w:link w:val="678"/>
    <w:pPr>
      <w:spacing w:after="0" w:line="240" w:lineRule="auto"/>
    </w:pPr>
    <w:rPr>
      <w:rFonts w:ascii="Times New Roman" w:hAnsi="Times New Roman" w:eastAsia="Times New Roman" w:cs="Times New Roman"/>
      <w:sz w:val="28"/>
      <w:szCs w:val="20"/>
      <w:lang w:val="ru-RU" w:eastAsia="ru-RU"/>
    </w:rPr>
  </w:style>
  <w:style w:type="character" w:styleId="678" w:customStyle="1">
    <w:name w:val="Основний текст 2 Знак"/>
    <w:basedOn w:val="662"/>
    <w:link w:val="677"/>
    <w:rPr>
      <w:rFonts w:ascii="Times New Roman" w:hAnsi="Times New Roman" w:eastAsia="Times New Roman" w:cs="Times New Roman"/>
      <w:sz w:val="28"/>
      <w:szCs w:val="20"/>
      <w:lang w:eastAsia="ru-RU"/>
    </w:rPr>
  </w:style>
  <w:style w:type="paragraph" w:styleId="679"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80" w:customStyle="1">
    <w:name w:val="Заголовок 2 Знак"/>
    <w:basedOn w:val="662"/>
    <w:link w:val="659"/>
    <w:uiPriority w:val="9"/>
    <w:rPr>
      <w:rFonts w:ascii="Times New Roman" w:hAnsi="Times New Roman" w:eastAsia="Times New Roman" w:cs="Times New Roman"/>
      <w:b/>
      <w:bCs/>
      <w:sz w:val="36"/>
      <w:szCs w:val="36"/>
      <w:lang w:val="uk-UA" w:eastAsia="uk-UA"/>
    </w:rPr>
  </w:style>
  <w:style w:type="paragraph" w:styleId="681">
    <w:name w:val="No Spacing"/>
    <w:link w:val="682"/>
    <w:uiPriority w:val="1"/>
    <w:qFormat/>
    <w:pPr>
      <w:spacing w:after="0" w:line="240" w:lineRule="auto"/>
    </w:pPr>
    <w:rPr>
      <w:rFonts w:ascii="Calibri" w:hAnsi="Calibri" w:eastAsia="Calibri" w:cs="Times New Roman"/>
      <w:lang w:val="uk-UA"/>
    </w:rPr>
  </w:style>
  <w:style w:type="character" w:styleId="682" w:customStyle="1">
    <w:name w:val="Без інтервалів Знак"/>
    <w:basedOn w:val="662"/>
    <w:link w:val="681"/>
    <w:uiPriority w:val="1"/>
    <w:rPr>
      <w:rFonts w:ascii="Calibri" w:hAnsi="Calibri" w:eastAsia="Calibri" w:cs="Times New Roman"/>
      <w:lang w:val="uk-UA"/>
    </w:rPr>
  </w:style>
  <w:style w:type="character" w:styleId="683" w:customStyle="1">
    <w:name w:val="Другое_"/>
    <w:basedOn w:val="662"/>
    <w:link w:val="684"/>
    <w:rPr>
      <w:rFonts w:ascii="Calibri" w:hAnsi="Calibri" w:eastAsia="Calibri" w:cs="Calibri"/>
      <w:sz w:val="20"/>
      <w:szCs w:val="20"/>
    </w:rPr>
  </w:style>
  <w:style w:type="paragraph" w:styleId="684" w:customStyle="1">
    <w:name w:val="Другое"/>
    <w:basedOn w:val="658"/>
    <w:link w:val="683"/>
    <w:qFormat/>
    <w:pPr>
      <w:spacing w:after="0" w:line="240" w:lineRule="auto"/>
      <w:widowControl w:val="off"/>
    </w:pPr>
    <w:rPr>
      <w:rFonts w:ascii="Calibri" w:hAnsi="Calibri" w:eastAsia="Calibri" w:cs="Calibri"/>
      <w:sz w:val="20"/>
      <w:szCs w:val="20"/>
      <w:lang w:val="ru-RU"/>
    </w:rPr>
  </w:style>
  <w:style w:type="paragraph" w:styleId="685"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86" w:customStyle="1">
    <w:name w:val="Основной текст (2)_"/>
    <w:basedOn w:val="662"/>
    <w:link w:val="687"/>
    <w:rPr>
      <w:rFonts w:eastAsia="Times New Roman" w:cs="Times New Roman"/>
      <w:shd w:val="clear" w:color="auto" w:fill="ffffff"/>
    </w:rPr>
  </w:style>
  <w:style w:type="paragraph" w:styleId="687" w:customStyle="1">
    <w:name w:val="Основной текст (2)"/>
    <w:basedOn w:val="658"/>
    <w:link w:val="686"/>
    <w:pPr>
      <w:ind w:hanging="700"/>
      <w:jc w:val="both"/>
      <w:spacing w:before="240" w:after="480" w:line="0" w:lineRule="atLeast"/>
      <w:shd w:val="clear" w:color="auto" w:fill="ffffff"/>
      <w:widowControl w:val="off"/>
    </w:pPr>
    <w:rPr>
      <w:rFonts w:eastAsia="Times New Roman" w:cs="Times New Roman"/>
      <w:lang w:val="ru-RU"/>
    </w:rPr>
  </w:style>
  <w:style w:type="character" w:styleId="688" w:customStyle="1">
    <w:name w:val="Текст у виносці Знак"/>
    <w:basedOn w:val="662"/>
    <w:link w:val="689"/>
    <w:uiPriority w:val="99"/>
    <w:semiHidden/>
    <w:rPr>
      <w:rFonts w:ascii="Segoe UI" w:hAnsi="Segoe UI" w:eastAsia="Times New Roman" w:cs="Segoe UI"/>
      <w:sz w:val="18"/>
      <w:szCs w:val="18"/>
      <w:lang w:eastAsia="ru-RU"/>
    </w:rPr>
  </w:style>
  <w:style w:type="paragraph" w:styleId="689">
    <w:name w:val="Balloon Text"/>
    <w:basedOn w:val="658"/>
    <w:link w:val="688"/>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690" w:customStyle="1">
    <w:name w:val="Текст у виносці Знак1"/>
    <w:basedOn w:val="662"/>
    <w:uiPriority w:val="99"/>
    <w:semiHidden/>
    <w:rPr>
      <w:rFonts w:ascii="Segoe UI" w:hAnsi="Segoe UI" w:cs="Segoe UI"/>
      <w:sz w:val="18"/>
      <w:szCs w:val="18"/>
      <w:lang w:val="uk-UA"/>
    </w:rPr>
  </w:style>
  <w:style w:type="character" w:styleId="691" w:customStyle="1">
    <w:name w:val="T23"/>
    <w:rPr>
      <w:rFonts w:hint="default" w:ascii="Times New Roman" w:hAnsi="Times New Roman" w:eastAsia="Times New Roman1" w:cs="Times New Roman"/>
    </w:rPr>
  </w:style>
  <w:style w:type="paragraph" w:styleId="692" w:customStyle="1">
    <w:name w:val="Абзац списку1"/>
    <w:basedOn w:val="65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93" w:customStyle="1">
    <w:name w:val="markedcontent"/>
    <w:basedOn w:val="662"/>
  </w:style>
  <w:style w:type="paragraph" w:styleId="694">
    <w:name w:val="annotation text"/>
    <w:basedOn w:val="658"/>
    <w:link w:val="695"/>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95" w:customStyle="1">
    <w:name w:val="Текст примітки Знак"/>
    <w:basedOn w:val="662"/>
    <w:link w:val="694"/>
    <w:uiPriority w:val="99"/>
    <w:rPr>
      <w:rFonts w:ascii="Times New Roman" w:hAnsi="Times New Roman" w:eastAsia="Times New Roman" w:cs="Times New Roman"/>
      <w:sz w:val="20"/>
      <w:szCs w:val="20"/>
      <w:lang w:eastAsia="ru-RU"/>
    </w:rPr>
  </w:style>
  <w:style w:type="character" w:styleId="696" w:customStyle="1">
    <w:name w:val="docdata"/>
    <w:basedOn w:val="662"/>
  </w:style>
  <w:style w:type="character" w:styleId="697" w:customStyle="1">
    <w:name w:val="Заголовок 3 Знак"/>
    <w:basedOn w:val="662"/>
    <w:link w:val="660"/>
    <w:uiPriority w:val="9"/>
    <w:semiHidden/>
    <w:rPr>
      <w:rFonts w:asciiTheme="majorHAnsi" w:hAnsiTheme="majorHAnsi" w:eastAsiaTheme="majorEastAsia" w:cstheme="majorBidi"/>
      <w:color w:val="1f4d78" w:themeColor="accent1" w:themeShade="7F"/>
      <w:sz w:val="24"/>
      <w:szCs w:val="24"/>
      <w:lang w:val="uk-UA"/>
    </w:rPr>
  </w:style>
  <w:style w:type="character" w:styleId="698" w:customStyle="1">
    <w:name w:val="Заголовок 4 Знак"/>
    <w:basedOn w:val="662"/>
    <w:link w:val="661"/>
    <w:uiPriority w:val="9"/>
    <w:semiHidden/>
    <w:rPr>
      <w:rFonts w:asciiTheme="majorHAnsi" w:hAnsiTheme="majorHAnsi" w:eastAsiaTheme="majorEastAsia" w:cstheme="majorBidi"/>
      <w:i/>
      <w:iCs/>
      <w:color w:val="2e74b5" w:themeColor="accent1" w:themeShade="BF"/>
      <w:lang w:val="uk-UA"/>
    </w:rPr>
  </w:style>
  <w:style w:type="paragraph" w:styleId="699" w:customStyle="1">
    <w:name w:val="name-spec"/>
    <w:basedOn w:val="65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00" w:customStyle="1">
    <w:name w:val="cont-spec"/>
    <w:basedOn w:val="65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01">
    <w:name w:val="Strong"/>
    <w:basedOn w:val="662"/>
    <w:uiPriority w:val="22"/>
    <w:qFormat/>
    <w:rPr>
      <w:b/>
      <w:bCs/>
    </w:rPr>
  </w:style>
  <w:style w:type="paragraph" w:styleId="702" w:customStyle="1">
    <w:name w:val="rvps6"/>
    <w:basedOn w:val="658"/>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03"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04" w:customStyle="1">
    <w:name w:val="Table Paragraph"/>
    <w:basedOn w:val="658"/>
    <w:uiPriority w:val="1"/>
    <w:qFormat/>
    <w:pPr>
      <w:spacing w:after="0" w:line="240" w:lineRule="auto"/>
      <w:widowControl w:val="off"/>
    </w:pPr>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z0093-98" TargetMode="External"/><Relationship Id="rId12" Type="http://schemas.openxmlformats.org/officeDocument/2006/relationships/hyperlink" Target="https://zakon.rada.gov.ua/laws/show/z0252-1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2024-07-16T07:14:46Z</dcterms:modified>
</cp:coreProperties>
</file>