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color w:val="000000"/>
          <w:sz w:val="24"/>
          <w:szCs w:val="24"/>
        </w:rPr>
        <w:t xml:space="preserve">Електрична енергія (без розподілу) за кодом CPV за ЄЗС ДК 021:2015: 09310000-5 - Електрична енергія</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5</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9103</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spacing w:after="0" w:line="240" w:lineRule="auto"/>
        <w:rPr>
          <w:rFonts w:ascii="Times New Roman" w:hAnsi="Times New Roman" w:eastAsia="Calibri" w:cs="Times New Roman"/>
          <w:sz w:val="24"/>
          <w:szCs w:val="24"/>
          <w:u w:val="single"/>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color w:val="000000"/>
          <w:sz w:val="24"/>
          <w:szCs w:val="24"/>
        </w:rPr>
        <w:t xml:space="preserve">Електрична енергія (без розподілу)</w:t>
      </w:r>
      <w:r>
        <w:rPr>
          <w:rFonts w:ascii="Times New Roman" w:hAnsi="Times New Roman" w:cs="Times New Roman"/>
          <w:sz w:val="24"/>
          <w:szCs w:val="24"/>
        </w:rPr>
        <w:br/>
      </w:r>
      <w:r/>
    </w:p>
    <w:p>
      <w:pPr>
        <w:jc w:val="both"/>
        <w:spacing w:after="0" w:line="240" w:lineRule="auto"/>
        <w:rPr>
          <w:rFonts w:ascii="Times New Roman" w:hAnsi="Times New Roman" w:eastAsia="Calibri" w:cs="Times New Roman"/>
          <w:sz w:val="24"/>
          <w:szCs w:val="24"/>
          <w:u w:val="single"/>
        </w:rPr>
      </w:pPr>
      <w:r>
        <w:rPr>
          <w:rFonts w:ascii="Times New Roman" w:hAnsi="Times New Roman" w:eastAsia="Calibri" w:cs="Times New Roman"/>
          <w:sz w:val="24"/>
          <w:szCs w:val="24"/>
          <w:u w:val="single"/>
        </w:rPr>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sz w:val="24"/>
          <w:szCs w:val="24"/>
        </w:rPr>
        <w:br/>
      </w:r>
      <w:r>
        <w:rPr>
          <w:rFonts w:ascii="Times New Roman" w:hAnsi="Times New Roman" w:cs="Times New Roman"/>
          <w:b/>
          <w:bCs/>
          <w:color w:val="000000"/>
          <w:sz w:val="24"/>
          <w:szCs w:val="24"/>
        </w:rPr>
        <w:t xml:space="preserve">ІНФОРМАЦІЯ ПРО НЕОБХІДНІ ТЕХНІЧНІ, ЯКІСНІ ТА КІЛЬКІСНІ ХАРАКТЕРИСТИКИ ПРЕДМЕТА ЗАКУПІВЛІ</w:t>
      </w:r>
      <w:r/>
    </w:p>
    <w:p>
      <w:pPr>
        <w:jc w:val="center"/>
        <w:spacing w:after="0" w:line="240" w:lineRule="auto"/>
        <w:rPr>
          <w:rFonts w:ascii="Times New Roman" w:hAnsi="Times New Roman" w:cs="Times New Roman"/>
          <w:b/>
          <w:bCs/>
          <w:color w:val="000000"/>
          <w:sz w:val="24"/>
          <w:szCs w:val="24"/>
        </w:rPr>
        <w:outlineLvl w:val="0"/>
      </w:pPr>
      <w:r>
        <w:rPr>
          <w:rFonts w:ascii="Times New Roman" w:hAnsi="Times New Roman" w:cs="Times New Roman"/>
          <w:b/>
          <w:bCs/>
          <w:color w:val="000000"/>
          <w:sz w:val="24"/>
          <w:szCs w:val="24"/>
        </w:rPr>
        <w:t xml:space="preserve">ТЕХНІЧНА СПЕЦИФІКАЦІЯ </w:t>
      </w:r>
      <w:r/>
    </w:p>
    <w:p>
      <w:pPr>
        <w:jc w:val="center"/>
        <w:spacing w:after="0" w:line="240" w:lineRule="auto"/>
        <w:rPr>
          <w:rFonts w:ascii="Times New Roman" w:hAnsi="Times New Roman" w:cs="Times New Roman"/>
          <w:b/>
          <w:bCs/>
          <w:sz w:val="24"/>
          <w:szCs w:val="24"/>
        </w:rPr>
        <w:outlineLvl w:val="0"/>
      </w:pPr>
      <w:r>
        <w:rPr>
          <w:rFonts w:ascii="Times New Roman" w:hAnsi="Times New Roman" w:cs="Times New Roman"/>
          <w:b/>
          <w:bCs/>
          <w:sz w:val="24"/>
          <w:szCs w:val="24"/>
        </w:rPr>
        <w:t xml:space="preserve">на поставку </w:t>
      </w:r>
      <w:r/>
    </w:p>
    <w:p>
      <w:pPr>
        <w:jc w:val="center"/>
        <w:spacing w:after="0" w:line="240" w:lineRule="auto"/>
        <w:shd w:val="clear" w:color="auto" w:fill="ffffff"/>
        <w:tabs>
          <w:tab w:val="left" w:pos="6812" w:leader="none"/>
        </w:tabs>
        <w:rPr>
          <w:rFonts w:ascii="Times New Roman" w:hAnsi="Times New Roman" w:cs="Times New Roman"/>
          <w:b/>
          <w:bCs/>
          <w:sz w:val="24"/>
          <w:szCs w:val="24"/>
        </w:rPr>
      </w:pPr>
      <w:r>
        <w:rPr>
          <w:rFonts w:ascii="Times New Roman" w:hAnsi="Times New Roman" w:cs="Times New Roman"/>
          <w:b/>
          <w:bCs/>
          <w:sz w:val="24"/>
          <w:szCs w:val="24"/>
        </w:rPr>
        <w:t xml:space="preserve">код ДК 021:2015 - 09310000-5 - Електрична енергія </w:t>
      </w:r>
      <w:r/>
    </w:p>
    <w:p>
      <w:pPr>
        <w:ind w:firstLine="709"/>
        <w:jc w:val="center"/>
        <w:spacing w:after="0" w:line="240" w:lineRule="auto"/>
        <w:widowControl w:val="off"/>
        <w:rPr>
          <w:rFonts w:ascii="Times New Roman" w:hAnsi="Times New Roman" w:cs="Times New Roman"/>
          <w:b/>
          <w:bCs/>
          <w:i/>
          <w:iCs/>
          <w:sz w:val="24"/>
          <w:szCs w:val="24"/>
          <w:lang w:eastAsia="uk-UA"/>
        </w:rPr>
      </w:pPr>
      <w:r>
        <w:rPr>
          <w:rFonts w:ascii="Times New Roman" w:hAnsi="Times New Roman" w:cs="Times New Roman"/>
          <w:b/>
          <w:bCs/>
          <w:i/>
          <w:iCs/>
          <w:sz w:val="24"/>
          <w:szCs w:val="24"/>
          <w:lang w:eastAsia="uk-UA"/>
        </w:rPr>
      </w:r>
      <w:r/>
    </w:p>
    <w:p>
      <w:pPr>
        <w:ind w:firstLine="567"/>
        <w:jc w:val="both"/>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 xml:space="preserve">Електрична енергія для забезпечення потреб Державної установи «Центр інфраструктури та технологій Міністерства внутрішніх справ України» за адресами:</w:t>
      </w:r>
      <w:r>
        <w:rPr>
          <w:rFonts w:ascii="Times New Roman" w:hAnsi="Times New Roman" w:cs="Times New Roman"/>
          <w:b/>
          <w:sz w:val="24"/>
          <w:szCs w:val="24"/>
          <w:lang w:val="ru-RU"/>
        </w:rPr>
        <w:t xml:space="preserve"> </w:t>
      </w:r>
      <w:r>
        <w:rPr>
          <w:rFonts w:ascii="Times New Roman" w:hAnsi="Times New Roman" w:cs="Times New Roman"/>
          <w:b/>
          <w:sz w:val="24"/>
          <w:szCs w:val="24"/>
        </w:rPr>
        <w:t xml:space="preserve">вул. Козацької слави, 4А, м. Хотин, Дністровський р-н, Чернівецької обл.</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Загальні дані</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Місце поставки товару:  (згідно з Переліком адрес об’єктів та ЕІС-кодів точок комерційного обліку об’єктів </w:t>
      </w:r>
      <w:r>
        <w:rPr>
          <w:rFonts w:ascii="Times New Roman" w:hAnsi="Times New Roman" w:cs="Times New Roman"/>
          <w:b/>
          <w:sz w:val="24"/>
          <w:szCs w:val="24"/>
        </w:rPr>
        <w:t xml:space="preserve">Державної установи «Центр інфраструктури та технологій Міністерства внутрішніх справ України» </w:t>
      </w:r>
      <w:r>
        <w:rPr>
          <w:rFonts w:ascii="Times New Roman" w:hAnsi="Times New Roman" w:cs="Times New Roman"/>
          <w:sz w:val="24"/>
          <w:szCs w:val="24"/>
        </w:rPr>
        <w:t xml:space="preserve">- (додаток № 2).</w:t>
      </w:r>
      <w:r/>
    </w:p>
    <w:p>
      <w:pPr>
        <w:ind w:firstLine="709"/>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1.2. Строк та умови постачання товару: </w:t>
      </w:r>
      <w:r>
        <w:rPr>
          <w:rFonts w:ascii="Times New Roman" w:hAnsi="Times New Roman" w:cs="Times New Roman"/>
          <w:b/>
          <w:bCs/>
          <w:sz w:val="24"/>
          <w:szCs w:val="24"/>
          <w:lang w:eastAsia="uk-UA"/>
        </w:rPr>
        <w:t xml:space="preserve">з 01.09.2023</w:t>
      </w:r>
      <w:r>
        <w:rPr>
          <w:rFonts w:ascii="Times New Roman" w:hAnsi="Times New Roman" w:cs="Times New Roman"/>
          <w:sz w:val="24"/>
          <w:szCs w:val="24"/>
          <w:lang w:eastAsia="uk-UA"/>
        </w:rPr>
        <w:t xml:space="preserve"> </w:t>
      </w:r>
      <w:r>
        <w:rPr>
          <w:rFonts w:ascii="Times New Roman" w:hAnsi="Times New Roman" w:cs="Times New Roman"/>
          <w:b/>
          <w:sz w:val="24"/>
          <w:szCs w:val="24"/>
          <w:lang w:eastAsia="uk-UA"/>
        </w:rPr>
        <w:t xml:space="preserve">до 31.12.2023 </w:t>
      </w:r>
      <w:r>
        <w:rPr>
          <w:rFonts w:ascii="Times New Roman" w:hAnsi="Times New Roman" w:cs="Times New Roman"/>
          <w:b/>
          <w:sz w:val="24"/>
          <w:szCs w:val="24"/>
          <w:lang w:val="ru-RU"/>
        </w:rPr>
        <w:t xml:space="preserve">(</w:t>
      </w:r>
      <w:r>
        <w:rPr>
          <w:rFonts w:ascii="Times New Roman" w:hAnsi="Times New Roman" w:cs="Times New Roman"/>
          <w:b/>
          <w:sz w:val="24"/>
          <w:szCs w:val="24"/>
          <w:lang w:val="ru-RU"/>
        </w:rPr>
        <w:t xml:space="preserve">включно</w:t>
      </w:r>
      <w:r>
        <w:rPr>
          <w:rFonts w:ascii="Times New Roman" w:hAnsi="Times New Roman" w:cs="Times New Roman"/>
          <w:b/>
          <w:sz w:val="24"/>
          <w:szCs w:val="24"/>
          <w:lang w:val="ru-RU"/>
        </w:rPr>
        <w:t xml:space="preserve">)</w:t>
      </w:r>
      <w:r>
        <w:rPr>
          <w:rFonts w:ascii="Times New Roman" w:hAnsi="Times New Roman" w:cs="Times New Roman"/>
          <w:b/>
          <w:sz w:val="24"/>
          <w:szCs w:val="24"/>
          <w:lang w:eastAsia="uk-UA"/>
        </w:rPr>
        <w:t xml:space="preserve">, цілодобово</w:t>
      </w:r>
      <w:r>
        <w:rPr>
          <w:rFonts w:ascii="Times New Roman" w:hAnsi="Times New Roman" w:cs="Times New Roman"/>
          <w:sz w:val="24"/>
          <w:szCs w:val="24"/>
          <w:lang w:eastAsia="uk-UA"/>
        </w:rPr>
        <w:t xml:space="preserve">.</w:t>
      </w:r>
      <w:r/>
    </w:p>
    <w:p>
      <w:pPr>
        <w:ind w:firstLine="709"/>
        <w:spacing w:after="0" w:line="240" w:lineRule="auto"/>
        <w:rPr>
          <w:rFonts w:ascii="Times New Roman" w:hAnsi="Times New Roman" w:cs="Times New Roman"/>
          <w:b/>
          <w:bCs/>
          <w:sz w:val="24"/>
          <w:szCs w:val="24"/>
          <w:lang w:val="ru-RU"/>
        </w:rPr>
        <w:outlineLvl w:val="0"/>
      </w:pPr>
      <w:r>
        <w:rPr>
          <w:rFonts w:ascii="Times New Roman" w:hAnsi="Times New Roman" w:cs="Times New Roman"/>
          <w:sz w:val="24"/>
          <w:szCs w:val="24"/>
        </w:rPr>
        <w:t xml:space="preserve">1.3. Кількість товару: </w:t>
      </w:r>
      <w:r>
        <w:rPr>
          <w:rFonts w:ascii="Times New Roman" w:hAnsi="Times New Roman" w:cs="Times New Roman"/>
          <w:b/>
          <w:sz w:val="24"/>
          <w:szCs w:val="24"/>
        </w:rPr>
        <w:t xml:space="preserve">82 500 </w:t>
      </w:r>
      <w:r>
        <w:rPr>
          <w:rFonts w:ascii="Times New Roman" w:hAnsi="Times New Roman" w:eastAsia="Arial" w:cs="Times New Roman"/>
          <w:b/>
          <w:bCs/>
          <w:color w:val="000000"/>
          <w:sz w:val="24"/>
          <w:szCs w:val="24"/>
        </w:rPr>
        <w:t xml:space="preserve"> </w:t>
      </w:r>
      <w:r>
        <w:rPr>
          <w:rFonts w:ascii="Times New Roman" w:hAnsi="Times New Roman" w:cs="Times New Roman"/>
          <w:b/>
          <w:bCs/>
          <w:sz w:val="24"/>
          <w:szCs w:val="24"/>
        </w:rPr>
        <w:t xml:space="preserve">кВт/год.</w:t>
      </w:r>
      <w:r/>
    </w:p>
    <w:p>
      <w:pPr>
        <w:ind w:firstLine="709"/>
        <w:spacing w:after="0" w:line="240" w:lineRule="auto"/>
        <w:rPr>
          <w:rFonts w:ascii="Times New Roman" w:hAnsi="Times New Roman" w:cs="Times New Roman"/>
          <w:sz w:val="24"/>
          <w:szCs w:val="24"/>
          <w:lang w:val="ru-RU"/>
        </w:rPr>
        <w:outlineLvl w:val="0"/>
      </w:pPr>
      <w:r>
        <w:rPr>
          <w:rFonts w:ascii="Times New Roman" w:hAnsi="Times New Roman" w:cs="Times New Roman"/>
          <w:bCs/>
          <w:sz w:val="24"/>
          <w:szCs w:val="24"/>
        </w:rPr>
        <w:t xml:space="preserve">1.4.  Ціна закупівлі електричної енергії не включає в себе вартість послуг операторів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lang w:eastAsia="uk-UA"/>
        </w:rPr>
        <w:t xml:space="preserve">2.2. </w:t>
      </w:r>
      <w:r>
        <w:rPr>
          <w:rFonts w:ascii="Times New Roman" w:hAnsi="Times New Roman" w:cs="Times New Roman"/>
          <w:spacing w:val="-2"/>
          <w:sz w:val="24"/>
          <w:szCs w:val="24"/>
        </w:rPr>
        <w:t xml:space="preserve">Об’єкти будуть підключені у встановленому законодавством порядку до мереж </w:t>
      </w:r>
      <w:r>
        <w:rPr>
          <w:rFonts w:ascii="Times New Roman" w:hAnsi="Times New Roman" w:cs="Times New Roman"/>
          <w:sz w:val="24"/>
          <w:szCs w:val="24"/>
        </w:rPr>
        <w:t xml:space="preserve">оператора систем розподілу, при цьому </w:t>
      </w:r>
      <w:r>
        <w:rPr>
          <w:rFonts w:ascii="Times New Roman" w:hAnsi="Times New Roman" w:cs="Times New Roman"/>
          <w:b/>
          <w:sz w:val="24"/>
          <w:szCs w:val="24"/>
        </w:rPr>
        <w:t xml:space="preserve">Державна установа «Центр інфраструктури та технологій Міністерства внутрішніх справ України» </w:t>
      </w:r>
      <w:r>
        <w:rPr>
          <w:rFonts w:ascii="Times New Roman" w:hAnsi="Times New Roman" w:cs="Times New Roman"/>
          <w:sz w:val="24"/>
          <w:szCs w:val="24"/>
        </w:rPr>
        <w:t xml:space="preserve">є стороною договору про надання послуг з розподілу електричної енергії з операторами </w:t>
      </w:r>
      <w:r>
        <w:rPr>
          <w:rFonts w:ascii="Times New Roman" w:hAnsi="Times New Roman" w:eastAsia="Arial" w:cs="Times New Roman"/>
          <w:sz w:val="24"/>
          <w:szCs w:val="24"/>
        </w:rPr>
        <w:t xml:space="preserve"> розподілу електричної енергії (код ДК 021:2015: 65310000-9 – розподіл електричної енергії (послуги з компенсації і перетікань реактивної електричної енергії), де роль </w:t>
      </w:r>
      <w:r>
        <w:rPr>
          <w:rFonts w:ascii="Times New Roman" w:hAnsi="Times New Roman" w:cs="Times New Roman"/>
          <w:sz w:val="24"/>
          <w:szCs w:val="24"/>
        </w:rPr>
        <w:t xml:space="preserve">постачальника послуг комерційного обліку за усіма точками комерційного обліку на Об’єктах виконують оператори системи розподілу</w:t>
      </w:r>
      <w:r>
        <w:rPr>
          <w:rFonts w:ascii="Times New Roman" w:hAnsi="Times New Roman" w:eastAsia="Arial" w:cs="Times New Roman"/>
          <w:sz w:val="24"/>
          <w:szCs w:val="24"/>
        </w:rPr>
        <w:t xml:space="preserve">.</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2.3. </w:t>
      </w:r>
      <w:r>
        <w:rPr>
          <w:rFonts w:ascii="Times New Roman" w:hAnsi="Times New Roman" w:cs="Times New Roman"/>
          <w:sz w:val="24"/>
          <w:szCs w:val="24"/>
        </w:rPr>
        <w:t xml:space="preserve">Відсутній факт припинення/призупинення постачання електричної енергії на Об’єкти або надання послуг з розподілу електричної енергії </w:t>
      </w:r>
      <w:r>
        <w:rPr>
          <w:rFonts w:ascii="Times New Roman" w:hAnsi="Times New Roman" w:cs="Times New Roman"/>
          <w:sz w:val="24"/>
          <w:szCs w:val="24"/>
        </w:rPr>
        <w:br/>
        <w:t xml:space="preserve">у випадках, передбачених законодавством у сфері енергетики. Відсутня прострочена </w:t>
      </w:r>
      <w:r>
        <w:rPr>
          <w:rFonts w:ascii="Times New Roman" w:hAnsi="Times New Roman" w:cs="Times New Roman"/>
          <w:sz w:val="24"/>
          <w:szCs w:val="24"/>
        </w:rPr>
        <w:t xml:space="preserve">заборгованість за договорами про постачання електричної енергії на Об’єкти або про надання послуг системи розподілу.</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Pr>
          <w:rFonts w:ascii="Times New Roman" w:hAnsi="Times New Roman" w:cs="Times New Roman"/>
          <w:sz w:val="24"/>
          <w:szCs w:val="24"/>
          <w:lang w:eastAsia="uk-UA"/>
        </w:rPr>
        <w:t xml:space="preserve">Постачальник є стороною, відповідальною за баланс своїх споживачів відповідно до положень «Правил ринку», витрати на врегулювання небалансів на балансуючому ринку електричної енергії покладаються на Постачальника та окремо Споживачем не сплачуються.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Параметри якості електричної енергії в точках приєднання Об’єктів у нормальних умовах експлуатації мають відповідати параметрам, визначеним у законодавстві, зокрема у ДСТУ EN 50160:2014 «</w:t>
      </w:r>
      <w:r>
        <w:rPr>
          <w:rFonts w:ascii="Times New Roman" w:hAnsi="Times New Roman" w:cs="Times New Roman"/>
          <w:sz w:val="24"/>
          <w:szCs w:val="24"/>
          <w:shd w:val="clear" w:color="auto" w:fill="fefefe"/>
        </w:rPr>
        <w:t xml:space="preserve">Характеристики напруги електропостачання в електричних мережах загальної </w:t>
      </w:r>
      <w:r>
        <w:rPr>
          <w:rFonts w:ascii="Times New Roman" w:hAnsi="Times New Roman" w:cs="Times New Roman"/>
          <w:sz w:val="24"/>
          <w:szCs w:val="24"/>
          <w:shd w:val="clear" w:color="auto" w:fill="fefefe"/>
        </w:rPr>
        <w:t xml:space="preserve">призначеності</w:t>
      </w:r>
      <w:r>
        <w:rPr>
          <w:rFonts w:ascii="Times New Roman" w:hAnsi="Times New Roman" w:cs="Times New Roman"/>
          <w:sz w:val="24"/>
          <w:szCs w:val="24"/>
        </w:rPr>
        <w:t xml:space="preserve">».</w:t>
      </w:r>
      <w:r/>
    </w:p>
    <w:p>
      <w:pPr>
        <w:ind w:firstLine="708"/>
        <w:jc w:val="both"/>
        <w:spacing w:after="0" w:line="240" w:lineRule="auto"/>
        <w:rPr>
          <w:rFonts w:ascii="Times New Roman" w:hAnsi="Times New Roman" w:cs="Times New Roman"/>
          <w:sz w:val="24"/>
          <w:szCs w:val="24"/>
        </w:rPr>
      </w:pPr>
      <w:r>
        <w:rPr>
          <w:rFonts w:ascii="Times New Roman" w:hAnsi="Times New Roman" w:cs="Times New Roman"/>
          <w:color w:val="00000a"/>
          <w:sz w:val="24"/>
          <w:szCs w:val="24"/>
        </w:rPr>
        <w:t xml:space="preserve">2.5. Умови постачання електричної енергії замовнику повинні відповідати технічним вимогам до предмету закупівлі, що визначені наступними нормативно-правовим актами: Закон України «Про публічні закупівлі», </w:t>
      </w:r>
      <w:r>
        <w:rPr>
          <w:rFonts w:ascii="Times New Roman" w:hAnsi="Times New Roman" w:cs="Times New Roman"/>
          <w:color w:val="00000a"/>
          <w:sz w:val="24"/>
          <w:szCs w:val="24"/>
        </w:rPr>
        <w:br/>
        <w:t xml:space="preserve">Закон України «Про ринок електричної енергії», Постанова Національної комісії, що здійснює державне регулювання у сферах енергетики та комунальних послуг (НКРЕКП)</w:t>
      </w:r>
      <w:r>
        <w:rPr>
          <w:rFonts w:ascii="Times New Roman" w:hAnsi="Times New Roman" w:cs="Times New Roman"/>
          <w:color w:val="00000a"/>
          <w:sz w:val="24"/>
          <w:szCs w:val="24"/>
        </w:rPr>
        <w:t xml:space="preserve"> від 14.03.2018 № 312 «Про затвердження  Правил роздрібного ринку електричної енергії», Постанова НКРЕКП від 12.06.2018  № 375 «Про затвердження Порядку забезпечення стандартів якості електропостачання та надання компенсацій споживачам за їх недотримання»,</w:t>
      </w:r>
      <w:r>
        <w:rPr>
          <w:rFonts w:ascii="Times New Roman" w:hAnsi="Times New Roman" w:cs="Times New Roman"/>
          <w:color w:val="333333"/>
          <w:sz w:val="24"/>
          <w:szCs w:val="24"/>
          <w:shd w:val="clear" w:color="auto" w:fill="ffffff"/>
        </w:rPr>
        <w:t xml:space="preserve"> Кодекс комерційного обліку електричної енергії, Кодекс системи розподілу, Кодекс системи передачі, </w:t>
      </w:r>
      <w:r>
        <w:rPr>
          <w:rFonts w:ascii="Times New Roman" w:hAnsi="Times New Roman" w:cs="Times New Roman"/>
          <w:sz w:val="24"/>
          <w:szCs w:val="24"/>
        </w:rPr>
        <w:t xml:space="preserve">Правила роздрібного ринку електричної енергії, Правила ринку «на добу наперед» на внутрішньодобовому ринку», Правила ринку та іншими нормативними актами прийнятими на виконання Закону України «Про ринок електричної енергії».</w:t>
      </w:r>
      <w:r/>
    </w:p>
    <w:p>
      <w:pPr>
        <w:ind w:firstLine="708"/>
        <w:jc w:val="both"/>
        <w:spacing w:after="0" w:line="240" w:lineRule="auto"/>
        <w:rPr>
          <w:rFonts w:ascii="Times New Roman" w:hAnsi="Times New Roman" w:eastAsia="Arial" w:cs="Times New Roman"/>
          <w:sz w:val="24"/>
          <w:szCs w:val="24"/>
        </w:rPr>
      </w:pPr>
      <w:r>
        <w:rPr>
          <w:rFonts w:ascii="Times New Roman" w:hAnsi="Times New Roman" w:cs="Times New Roman"/>
          <w:sz w:val="24"/>
          <w:szCs w:val="24"/>
        </w:rPr>
        <w:t xml:space="preserve">2.6. </w:t>
      </w:r>
      <w:r>
        <w:rPr>
          <w:rFonts w:ascii="Times New Roman" w:hAnsi="Times New Roman" w:eastAsia="Arial" w:cs="Times New Roman"/>
          <w:sz w:val="24"/>
          <w:szCs w:val="24"/>
        </w:rPr>
        <w:t xml:space="preserve">Для забезпечення безперервного надання послуг з постачання електричної енергії споживачу постачальник зобов'язується здійснювати своєчасну закупі</w:t>
      </w:r>
      <w:r>
        <w:rPr>
          <w:rFonts w:ascii="Times New Roman" w:hAnsi="Times New Roman" w:eastAsia="Arial" w:cs="Times New Roman"/>
          <w:sz w:val="24"/>
          <w:szCs w:val="24"/>
        </w:rPr>
        <w:t xml:space="preserve">влю електричної енергії в обсягах, що за належних умов забезпечать задоволення попиту на споживання електричної енергії споживачем. Постачальник зобов’язується дотримуватись якості надання послуг постачальника електричної енергії та вимог постанови НКРЕКП </w:t>
      </w:r>
      <w:r>
        <w:rPr>
          <w:rFonts w:ascii="Times New Roman" w:hAnsi="Times New Roman" w:eastAsia="Arial" w:cs="Times New Roman"/>
          <w:sz w:val="24"/>
          <w:szCs w:val="24"/>
        </w:rPr>
        <w:br/>
        <w:t xml:space="preserve">від 12.06.2018 № 375 «Про затвердження Порядку забезпечення стандартів якості електропостачання та надання компенсацій споживачам за їх недотримання». В тому числі поста</w:t>
      </w:r>
      <w:r>
        <w:rPr>
          <w:rFonts w:ascii="Times New Roman" w:hAnsi="Times New Roman" w:eastAsia="Arial" w:cs="Times New Roman"/>
          <w:sz w:val="24"/>
          <w:szCs w:val="24"/>
        </w:rPr>
        <w:t xml:space="preserve">чальник зобов'язується забезпечити комерційну якість послуг, які надаються споживачу за договором про постачання електричної енергії, що передбачає вчасне та повне інформування споживача про умови постачання електричної енергії, ціни на електричну енергію </w:t>
      </w:r>
      <w:r>
        <w:rPr>
          <w:rFonts w:ascii="Times New Roman" w:hAnsi="Times New Roman" w:eastAsia="Arial" w:cs="Times New Roman"/>
          <w:sz w:val="24"/>
          <w:szCs w:val="24"/>
        </w:rPr>
        <w:t xml:space="preserve">та вартість послуг, що надаються, надання роз’яснень положень актів чинного законодавства, якими регулюються відносини Сторін, ведення точних та прозорих розрахунків із Споживачем, а також можливість вирішення спірних питань шляхом досудового врегулювання.</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2.7. </w:t>
      </w:r>
      <w:r>
        <w:rPr>
          <w:rFonts w:ascii="Times New Roman" w:hAnsi="Times New Roman" w:eastAsia="SimSun" w:cs="Times New Roman"/>
          <w:sz w:val="24"/>
          <w:szCs w:val="24"/>
          <w:lang w:eastAsia="zh-CN"/>
        </w:rPr>
        <w:t xml:space="preserve">Технічні, якісні ха</w:t>
      </w:r>
      <w:r>
        <w:rPr>
          <w:rFonts w:ascii="Times New Roman" w:hAnsi="Times New Roman" w:eastAsia="SimSun" w:cs="Times New Roman"/>
          <w:sz w:val="24"/>
          <w:szCs w:val="24"/>
          <w:lang w:eastAsia="zh-CN"/>
        </w:rPr>
        <w:t xml:space="preserve">рактеристики товару за предметом закупівлі повинні відповідати вимогам чинного законодавства із захисту довкілля, відповідати вимогам державної політики України в галузі захисту довкілля та вимогам чинного законодавства під час його належної експлуатації. </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cs="Times New Roman"/>
          <w:sz w:val="24"/>
          <w:szCs w:val="24"/>
        </w:rPr>
        <w:t xml:space="preserve">2.8. </w:t>
      </w:r>
      <w:r>
        <w:rPr>
          <w:rFonts w:ascii="Times New Roman" w:hAnsi="Times New Roman" w:eastAsia="SimSun" w:cs="Times New Roman"/>
          <w:sz w:val="24"/>
          <w:szCs w:val="24"/>
          <w:lang w:eastAsia="zh-CN"/>
        </w:rPr>
        <w:t xml:space="preserve">Учасник повин</w:t>
      </w:r>
      <w:r>
        <w:rPr>
          <w:rFonts w:ascii="Times New Roman" w:hAnsi="Times New Roman" w:eastAsia="SimSun" w:cs="Times New Roman"/>
          <w:sz w:val="24"/>
          <w:szCs w:val="24"/>
          <w:lang w:eastAsia="zh-CN"/>
        </w:rPr>
        <w:t xml:space="preserve">ен бути включений до переліку суб’єктів господарської діяльності, які мають ліцензії з постачання електричної енергії, який розміщений на офіційному веб-сайті Національної комісії, що здійснює державне регулювання у сферах енергетики та комунальних послуг.</w:t>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ascii="Times New Roman" w:hAnsi="Times New Roman" w:eastAsia="SimSun" w:cs="Times New Roman"/>
          <w:sz w:val="24"/>
          <w:szCs w:val="24"/>
          <w:lang w:eastAsia="zh-CN"/>
        </w:rPr>
      </w:pPr>
      <w:r>
        <w:rPr>
          <w:rFonts w:ascii="Times New Roman" w:hAnsi="Times New Roman" w:eastAsia="SimSun" w:cs="Times New Roman"/>
          <w:sz w:val="24"/>
          <w:szCs w:val="24"/>
          <w:lang w:eastAsia="zh-CN"/>
        </w:rPr>
      </w:r>
      <w:r/>
    </w:p>
    <w:p>
      <w:pPr>
        <w:ind w:firstLine="709"/>
        <w:jc w:val="both"/>
        <w:spacing w:after="0" w:line="240" w:lineRule="auto"/>
        <w:rPr>
          <w:rFonts w:eastAsia="Times New Roman"/>
          <w:sz w:val="24"/>
          <w:szCs w:val="24"/>
          <w:lang w:eastAsia="ru-RU"/>
        </w:rPr>
      </w:pPr>
      <w:r>
        <w:rPr>
          <w:rFonts w:eastAsia="Times New Roman"/>
          <w:sz w:val="24"/>
          <w:szCs w:val="24"/>
          <w:lang w:eastAsia="ru-RU"/>
        </w:rPr>
      </w:r>
      <w:r/>
    </w:p>
    <w:tbl>
      <w:tblPr>
        <w:tblStyle w:val="692"/>
        <w:tblW w:w="4394" w:type="dxa"/>
        <w:tblInd w:w="552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394"/>
      </w:tblGrid>
      <w:tr>
        <w:trPr/>
        <w:tc>
          <w:tcPr>
            <w:tcW w:w="4394" w:type="dxa"/>
            <w:textDirection w:val="lrTb"/>
            <w:noWrap w:val="false"/>
          </w:tcPr>
          <w:p>
            <w:pPr>
              <w:rPr>
                <w:rFonts w:ascii="Times New Roman" w:hAnsi="Times New Roman" w:cs="Times New Roman"/>
                <w:b/>
                <w:bCs/>
              </w:rPr>
            </w:pPr>
            <w:r>
              <w:rPr>
                <w:rFonts w:ascii="Times New Roman" w:hAnsi="Times New Roman" w:cs="Times New Roman"/>
                <w:b/>
                <w:bCs/>
              </w:rPr>
              <w:t xml:space="preserve">Додаток № 1  до інформації про необхідні </w:t>
            </w:r>
            <w:r/>
          </w:p>
          <w:p>
            <w:pPr>
              <w:rPr>
                <w:rFonts w:ascii="Times New Roman" w:hAnsi="Times New Roman" w:cs="Times New Roman"/>
                <w:b/>
                <w:bCs/>
              </w:rPr>
            </w:pPr>
            <w:r>
              <w:rPr>
                <w:rFonts w:ascii="Times New Roman" w:hAnsi="Times New Roman" w:cs="Times New Roman"/>
                <w:b/>
                <w:bCs/>
              </w:rPr>
              <w:t xml:space="preserve">технічні, якісні та кількісні характеристики</w:t>
            </w:r>
            <w:r/>
          </w:p>
          <w:p>
            <w:pPr>
              <w:rPr>
                <w:rFonts w:ascii="Times New Roman" w:hAnsi="Times New Roman" w:cs="Times New Roman"/>
                <w:b/>
                <w:bCs/>
                <w:lang w:val="ru-RU"/>
              </w:rPr>
            </w:pPr>
            <w:r>
              <w:rPr>
                <w:rFonts w:ascii="Times New Roman" w:hAnsi="Times New Roman" w:cs="Times New Roman"/>
                <w:b/>
                <w:bCs/>
                <w:lang w:val="ru-RU"/>
              </w:rPr>
              <w:t xml:space="preserve">предмета </w:t>
            </w:r>
            <w:r>
              <w:rPr>
                <w:rFonts w:ascii="Times New Roman" w:hAnsi="Times New Roman" w:cs="Times New Roman"/>
                <w:b/>
                <w:bCs/>
                <w:lang w:val="ru-RU"/>
              </w:rPr>
              <w:t xml:space="preserve">закупівлі</w:t>
            </w:r>
            <w:r>
              <w:rPr>
                <w:rFonts w:ascii="Times New Roman" w:hAnsi="Times New Roman" w:cs="Times New Roman"/>
                <w:b/>
                <w:bCs/>
                <w:lang w:val="ru-RU"/>
              </w:rPr>
              <w:t xml:space="preserve">, у тому </w:t>
            </w:r>
            <w:r>
              <w:rPr>
                <w:rFonts w:ascii="Times New Roman" w:hAnsi="Times New Roman" w:cs="Times New Roman"/>
                <w:b/>
                <w:bCs/>
                <w:lang w:val="ru-RU"/>
              </w:rPr>
              <w:t xml:space="preserve">числі</w:t>
            </w:r>
            <w:r>
              <w:rPr>
                <w:rFonts w:ascii="Times New Roman" w:hAnsi="Times New Roman" w:cs="Times New Roman"/>
                <w:b/>
                <w:bCs/>
                <w:lang w:val="ru-RU"/>
              </w:rPr>
              <w:t xml:space="preserve"> </w:t>
            </w:r>
            <w:r>
              <w:rPr>
                <w:rFonts w:ascii="Times New Roman" w:hAnsi="Times New Roman" w:cs="Times New Roman"/>
                <w:b/>
                <w:bCs/>
                <w:lang w:val="ru-RU"/>
              </w:rPr>
              <w:t xml:space="preserve">відповідна</w:t>
            </w:r>
            <w:r>
              <w:rPr>
                <w:rFonts w:ascii="Times New Roman" w:hAnsi="Times New Roman" w:cs="Times New Roman"/>
                <w:b/>
                <w:bCs/>
                <w:lang w:val="ru-RU"/>
              </w:rPr>
              <w:t xml:space="preserve"> </w:t>
            </w:r>
            <w:r/>
          </w:p>
          <w:p>
            <w:pPr>
              <w:rPr>
                <w:rFonts w:cs="Times New Roman"/>
                <w:b/>
                <w:bCs/>
                <w:lang w:val="ru-RU"/>
              </w:rPr>
            </w:pPr>
            <w:r>
              <w:rPr>
                <w:rFonts w:ascii="Times New Roman" w:hAnsi="Times New Roman" w:cs="Times New Roman"/>
                <w:b/>
                <w:bCs/>
                <w:lang w:val="ru-RU"/>
              </w:rPr>
              <w:t xml:space="preserve">технічна</w:t>
            </w:r>
            <w:r>
              <w:rPr>
                <w:rFonts w:ascii="Times New Roman" w:hAnsi="Times New Roman" w:cs="Times New Roman"/>
                <w:b/>
                <w:bCs/>
                <w:lang w:val="ru-RU"/>
              </w:rPr>
              <w:t xml:space="preserve"> </w:t>
            </w:r>
            <w:r>
              <w:rPr>
                <w:rFonts w:ascii="Times New Roman" w:hAnsi="Times New Roman" w:cs="Times New Roman"/>
                <w:b/>
                <w:bCs/>
                <w:lang w:val="ru-RU"/>
              </w:rPr>
              <w:t xml:space="preserve">специфікація</w:t>
            </w:r>
            <w:r/>
          </w:p>
        </w:tc>
      </w:tr>
    </w:tbl>
    <w:p>
      <w:pPr>
        <w:ind w:firstLine="426"/>
        <w:jc w:val="right"/>
        <w:widowControl w:val="off"/>
        <w:rPr>
          <w:rFonts w:ascii="Times New Roman" w:hAnsi="Times New Roman" w:eastAsia="Times New Roman" w:cs="Times New Roman"/>
          <w:b/>
          <w:bCs/>
          <w:i/>
          <w:lang w:eastAsia="ru-RU"/>
        </w:rPr>
      </w:pPr>
      <w:r>
        <w:rPr>
          <w:rFonts w:ascii="Times New Roman" w:hAnsi="Times New Roman" w:eastAsia="Times New Roman" w:cs="Times New Roman"/>
          <w:b/>
          <w:bCs/>
          <w:i/>
          <w:lang w:eastAsia="ru-RU"/>
        </w:rPr>
      </w:r>
      <w:r/>
    </w:p>
    <w:p>
      <w:pPr>
        <w:ind w:firstLine="426"/>
        <w:jc w:val="right"/>
        <w:widowControl w:val="off"/>
        <w:rPr>
          <w:rFonts w:ascii="Times New Roman" w:hAnsi="Times New Roman" w:cs="Times New Roman"/>
          <w:b/>
          <w:bCs/>
          <w:color w:val="000000"/>
        </w:rPr>
      </w:pPr>
      <w:r>
        <w:rPr>
          <w:rFonts w:ascii="Times New Roman" w:hAnsi="Times New Roman" w:cs="Times New Roman"/>
          <w:b/>
          <w:bCs/>
          <w:color w:val="000000"/>
        </w:rPr>
      </w:r>
      <w:r/>
    </w:p>
    <w:p>
      <w:pPr>
        <w:ind w:firstLine="709"/>
        <w:jc w:val="center"/>
        <w:spacing w:after="0" w:line="240" w:lineRule="auto"/>
        <w:widowControl w:val="off"/>
        <w:rPr>
          <w:rFonts w:ascii="Times New Roman" w:hAnsi="Times New Roman" w:cs="Times New Roman"/>
          <w:b/>
          <w:bCs/>
          <w:i/>
          <w:iCs/>
          <w:lang w:eastAsia="uk-UA"/>
        </w:rPr>
      </w:pPr>
      <w:r>
        <w:rPr>
          <w:rFonts w:ascii="Times New Roman" w:hAnsi="Times New Roman" w:cs="Times New Roman"/>
          <w:b/>
          <w:bCs/>
          <w:color w:val="000000"/>
        </w:rPr>
        <w:t xml:space="preserve"> </w:t>
      </w:r>
      <w:r/>
    </w:p>
    <w:p>
      <w:pPr>
        <w:jc w:val="center"/>
        <w:spacing w:after="0" w:line="240" w:lineRule="auto"/>
        <w:rPr>
          <w:rFonts w:ascii="Times New Roman" w:hAnsi="Times New Roman" w:cs="Times New Roman"/>
          <w:b/>
          <w:bCs/>
          <w:lang w:eastAsia="ru-RU"/>
        </w:rPr>
      </w:pPr>
      <w:r>
        <w:rPr>
          <w:rFonts w:ascii="Times New Roman" w:hAnsi="Times New Roman" w:cs="Times New Roman"/>
          <w:b/>
          <w:bCs/>
        </w:rPr>
        <w:t xml:space="preserve">Адреса об’єкту в який здійснюватиметься </w:t>
      </w:r>
      <w:r/>
    </w:p>
    <w:p>
      <w:pPr>
        <w:jc w:val="center"/>
        <w:spacing w:after="0" w:line="240" w:lineRule="auto"/>
        <w:rPr>
          <w:rFonts w:ascii="Times New Roman" w:hAnsi="Times New Roman" w:cs="Times New Roman"/>
          <w:b/>
          <w:bCs/>
        </w:rPr>
      </w:pPr>
      <w:r>
        <w:rPr>
          <w:rFonts w:ascii="Times New Roman" w:hAnsi="Times New Roman" w:cs="Times New Roman"/>
          <w:b/>
          <w:bCs/>
        </w:rPr>
        <w:t xml:space="preserve">постачання електричної енергії та о</w:t>
      </w:r>
      <w:r>
        <w:rPr>
          <w:rFonts w:ascii="Times New Roman" w:hAnsi="Times New Roman" w:cs="Times New Roman"/>
          <w:b/>
          <w:bCs/>
          <w:lang w:eastAsia="uk-UA"/>
        </w:rPr>
        <w:t xml:space="preserve">чікуваний </w:t>
      </w:r>
      <w:r>
        <w:rPr>
          <w:rFonts w:ascii="Times New Roman" w:hAnsi="Times New Roman" w:cs="Times New Roman"/>
          <w:b/>
          <w:bCs/>
        </w:rPr>
        <w:t xml:space="preserve">обсяг постачання </w:t>
      </w:r>
      <w:r/>
    </w:p>
    <w:p>
      <w:pPr>
        <w:jc w:val="center"/>
        <w:spacing w:after="0" w:line="240" w:lineRule="auto"/>
        <w:rPr>
          <w:rFonts w:ascii="Times New Roman" w:hAnsi="Times New Roman" w:cs="Times New Roman"/>
          <w:b/>
          <w:bCs/>
        </w:rPr>
      </w:pPr>
      <w:r>
        <w:rPr>
          <w:rFonts w:ascii="Times New Roman" w:hAnsi="Times New Roman" w:cs="Times New Roman"/>
          <w:b/>
          <w:bCs/>
        </w:rPr>
        <w:t xml:space="preserve">електричної енергії на період з 01 вересня по 31 грудня 2023 року</w:t>
      </w:r>
      <w:r/>
    </w:p>
    <w:p>
      <w:pPr>
        <w:ind w:firstLine="709"/>
        <w:spacing w:after="0" w:line="240" w:lineRule="auto"/>
        <w:rPr>
          <w:rFonts w:ascii="Times New Roman" w:hAnsi="Times New Roman" w:cs="Times New Roman"/>
          <w:b/>
          <w:bCs/>
        </w:rPr>
      </w:pPr>
      <w:r>
        <w:rPr>
          <w:rFonts w:ascii="Times New Roman" w:hAnsi="Times New Roman" w:cs="Times New Roman"/>
          <w:b/>
          <w:bCs/>
        </w:rPr>
      </w:r>
      <w:r/>
    </w:p>
    <w:p>
      <w:pPr>
        <w:rPr>
          <w:rFonts w:ascii="Times New Roman" w:hAnsi="Times New Roman" w:eastAsia="Calibri" w:cs="Times New Roman"/>
          <w:b/>
          <w:bCs/>
        </w:rPr>
      </w:pPr>
      <w:r>
        <w:rPr>
          <w:rFonts w:ascii="Times New Roman" w:hAnsi="Times New Roman" w:eastAsia="Calibri" w:cs="Times New Roman"/>
          <w:b/>
          <w:bCs/>
        </w:rPr>
      </w:r>
      <w:r/>
    </w:p>
    <w:tbl>
      <w:tblPr>
        <w:tblW w:w="10328" w:type="dxa"/>
        <w:tblInd w:w="-10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1"/>
        <w:gridCol w:w="1475"/>
        <w:gridCol w:w="515"/>
        <w:gridCol w:w="515"/>
        <w:gridCol w:w="515"/>
        <w:gridCol w:w="515"/>
        <w:gridCol w:w="515"/>
        <w:gridCol w:w="515"/>
        <w:gridCol w:w="515"/>
        <w:gridCol w:w="515"/>
        <w:gridCol w:w="912"/>
        <w:gridCol w:w="912"/>
        <w:gridCol w:w="912"/>
        <w:gridCol w:w="912"/>
        <w:gridCol w:w="959"/>
      </w:tblGrid>
      <w:tr>
        <w:trPr>
          <w:trHeight w:val="603"/>
        </w:trPr>
        <w:tc>
          <w:tcPr>
            <w:gridSpan w:val="15"/>
            <w:tcBorders>
              <w:top w:val="single" w:color="auto" w:sz="4" w:space="0"/>
              <w:left w:val="single" w:color="auto" w:sz="4" w:space="0"/>
              <w:bottom w:val="single" w:color="auto" w:sz="4" w:space="0"/>
              <w:right w:val="single" w:color="auto" w:sz="4" w:space="0"/>
            </w:tcBorders>
            <w:tcW w:w="10328" w:type="dxa"/>
            <w:vAlign w:val="center"/>
            <w:textDirection w:val="lrTb"/>
            <w:noWrap/>
          </w:tcPr>
          <w:p>
            <w:pPr>
              <w:jc w:val="center"/>
              <w:spacing w:after="0" w:line="240" w:lineRule="auto"/>
              <w:rPr>
                <w:rFonts w:ascii="Times New Roman" w:hAnsi="Times New Roman" w:eastAsia="Times New Roman" w:cs="Times New Roman"/>
                <w:b/>
                <w:bCs/>
                <w:sz w:val="20"/>
                <w:szCs w:val="20"/>
                <w:lang w:val="ru-RU"/>
              </w:rPr>
            </w:pPr>
            <w:r>
              <w:rPr>
                <w:rFonts w:ascii="Times New Roman" w:hAnsi="Times New Roman" w:cs="Times New Roman"/>
                <w:b/>
                <w:bCs/>
                <w:sz w:val="20"/>
                <w:szCs w:val="20"/>
                <w:lang w:val="ru-RU"/>
              </w:rPr>
              <w:t xml:space="preserve">Очікуваний</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обсяг</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постачання</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електричної</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енергії</w:t>
            </w:r>
            <w:r>
              <w:rPr>
                <w:rFonts w:ascii="Times New Roman" w:hAnsi="Times New Roman" w:cs="Times New Roman"/>
                <w:b/>
                <w:bCs/>
                <w:sz w:val="20"/>
                <w:szCs w:val="20"/>
                <w:lang w:val="ru-RU"/>
              </w:rPr>
              <w:t xml:space="preserve"> на </w:t>
            </w:r>
            <w:r>
              <w:rPr>
                <w:rFonts w:ascii="Times New Roman" w:hAnsi="Times New Roman" w:cs="Times New Roman"/>
                <w:b/>
                <w:bCs/>
                <w:sz w:val="20"/>
                <w:szCs w:val="20"/>
                <w:lang w:val="ru-RU"/>
              </w:rPr>
              <w:t xml:space="preserve">період</w:t>
            </w:r>
            <w:r>
              <w:rPr>
                <w:rFonts w:ascii="Times New Roman" w:hAnsi="Times New Roman" w:cs="Times New Roman"/>
                <w:b/>
                <w:bCs/>
                <w:sz w:val="20"/>
                <w:szCs w:val="20"/>
                <w:lang w:val="ru-RU"/>
              </w:rPr>
              <w:t xml:space="preserve"> з 01.09.2023 по 31.12.2023                                      </w:t>
            </w:r>
            <w:r>
              <w:rPr>
                <w:rFonts w:ascii="Times New Roman" w:hAnsi="Times New Roman" w:cs="Times New Roman"/>
                <w:b/>
                <w:bCs/>
                <w:sz w:val="20"/>
                <w:szCs w:val="20"/>
                <w:lang w:val="ru-RU"/>
              </w:rPr>
              <w:t xml:space="preserve">                                                                                                                                                                                                                                                        кВт*год.</w:t>
            </w:r>
            <w:r/>
          </w:p>
        </w:tc>
      </w:tr>
      <w:tr>
        <w:trPr>
          <w:cantSplit/>
          <w:trHeight w:val="1088"/>
        </w:trPr>
        <w:tc>
          <w:tcPr>
            <w:tcBorders>
              <w:top w:val="single" w:color="auto" w:sz="4" w:space="0"/>
              <w:left w:val="single" w:color="auto" w:sz="4" w:space="0"/>
              <w:bottom w:val="single" w:color="auto" w:sz="4" w:space="0"/>
              <w:right w:val="single" w:color="auto" w:sz="4" w:space="0"/>
            </w:tcBorders>
            <w:tcW w:w="401" w:type="dxa"/>
            <w:vAlign w:val="center"/>
            <w:textDirection w:val="lrTb"/>
            <w:noWrap w:val="false"/>
          </w:tcPr>
          <w:p>
            <w:pPr>
              <w:jc w:val="center"/>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 з/п</w:t>
            </w:r>
            <w:r/>
          </w:p>
        </w:tc>
        <w:tc>
          <w:tcPr>
            <w:tcBorders>
              <w:top w:val="single" w:color="auto" w:sz="4" w:space="0"/>
              <w:left w:val="single" w:color="auto" w:sz="4" w:space="0"/>
              <w:bottom w:val="single" w:color="auto" w:sz="4" w:space="0"/>
              <w:right w:val="single" w:color="auto" w:sz="4" w:space="0"/>
            </w:tcBorders>
            <w:tcW w:w="1391" w:type="dxa"/>
            <w:vAlign w:val="center"/>
            <w:textDirection w:val="lrTb"/>
            <w:noWrap/>
          </w:tcPr>
          <w:p>
            <w:pPr>
              <w:jc w:val="center"/>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Адреса </w:t>
            </w:r>
            <w:r>
              <w:rPr>
                <w:rFonts w:ascii="Times New Roman" w:hAnsi="Times New Roman" w:cs="Times New Roman"/>
                <w:b/>
                <w:bCs/>
                <w:sz w:val="20"/>
                <w:szCs w:val="20"/>
                <w:lang w:val="ru-RU"/>
              </w:rPr>
              <w:t xml:space="preserve">об’єкта</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Січень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Лютий</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Березень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Квітень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Травень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Червень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Липень</w:t>
            </w:r>
            <w:r/>
          </w:p>
        </w:tc>
        <w:tc>
          <w:tcPr>
            <w:tcBorders>
              <w:top w:val="single" w:color="auto" w:sz="4" w:space="0"/>
              <w:left w:val="single" w:color="auto" w:sz="4" w:space="0"/>
              <w:bottom w:val="single" w:color="auto" w:sz="4" w:space="0"/>
              <w:right w:val="single" w:color="auto" w:sz="4" w:space="0"/>
            </w:tcBorders>
            <w:tcW w:w="53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Серпень</w:t>
            </w:r>
            <w:r/>
          </w:p>
        </w:tc>
        <w:tc>
          <w:tcPr>
            <w:tcBorders>
              <w:top w:val="single" w:color="auto" w:sz="4" w:space="0"/>
              <w:left w:val="single" w:color="auto" w:sz="4" w:space="0"/>
              <w:bottom w:val="single" w:color="auto" w:sz="4" w:space="0"/>
              <w:right w:val="single" w:color="auto" w:sz="4" w:space="0"/>
            </w:tcBorders>
            <w:tcW w:w="787"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Вересень</w:t>
            </w:r>
            <w:r/>
          </w:p>
        </w:tc>
        <w:tc>
          <w:tcPr>
            <w:tcBorders>
              <w:top w:val="single" w:color="auto" w:sz="4" w:space="0"/>
              <w:left w:val="single" w:color="auto" w:sz="4" w:space="0"/>
              <w:bottom w:val="single" w:color="auto" w:sz="4" w:space="0"/>
              <w:right w:val="single" w:color="auto" w:sz="4" w:space="0"/>
            </w:tcBorders>
            <w:tcW w:w="84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Жовтень</w:t>
            </w:r>
            <w:r/>
          </w:p>
        </w:tc>
        <w:tc>
          <w:tcPr>
            <w:tcBorders>
              <w:top w:val="single" w:color="auto" w:sz="4" w:space="0"/>
              <w:left w:val="single" w:color="auto" w:sz="4" w:space="0"/>
              <w:bottom w:val="single" w:color="auto" w:sz="4" w:space="0"/>
              <w:right w:val="single" w:color="auto" w:sz="4" w:space="0"/>
            </w:tcBorders>
            <w:tcW w:w="84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Листопад</w:t>
            </w:r>
            <w:r/>
          </w:p>
        </w:tc>
        <w:tc>
          <w:tcPr>
            <w:tcBorders>
              <w:top w:val="single" w:color="auto" w:sz="4" w:space="0"/>
              <w:left w:val="single" w:color="auto" w:sz="4" w:space="0"/>
              <w:bottom w:val="single" w:color="auto" w:sz="4" w:space="0"/>
              <w:right w:val="single" w:color="auto" w:sz="4" w:space="0"/>
            </w:tcBorders>
            <w:tcW w:w="848"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Грудень</w:t>
            </w:r>
            <w:r/>
          </w:p>
        </w:tc>
        <w:tc>
          <w:tcPr>
            <w:tcBorders>
              <w:top w:val="single" w:color="auto" w:sz="4" w:space="0"/>
              <w:left w:val="single" w:color="auto" w:sz="4" w:space="0"/>
              <w:bottom w:val="single" w:color="auto" w:sz="4" w:space="0"/>
              <w:right w:val="single" w:color="auto" w:sz="4" w:space="0"/>
            </w:tcBorders>
            <w:tcW w:w="895" w:type="dxa"/>
            <w:vAlign w:val="center"/>
            <w:textDirection w:val="btLr"/>
            <w:noWrap/>
          </w:tcPr>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Всього</w:t>
            </w:r>
            <w:r>
              <w:rPr>
                <w:rFonts w:ascii="Times New Roman" w:hAnsi="Times New Roman" w:cs="Times New Roman"/>
                <w:b/>
                <w:bCs/>
                <w:sz w:val="20"/>
                <w:szCs w:val="20"/>
                <w:lang w:val="ru-RU"/>
              </w:rPr>
              <w:t xml:space="preserve"> на </w:t>
            </w:r>
            <w:r/>
          </w:p>
          <w:p>
            <w:pPr>
              <w:ind w:left="113" w:right="113"/>
              <w:jc w:val="center"/>
              <w:spacing w:after="0" w:line="240"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2023 </w:t>
            </w:r>
            <w:r>
              <w:rPr>
                <w:rFonts w:ascii="Times New Roman" w:hAnsi="Times New Roman" w:cs="Times New Roman"/>
                <w:b/>
                <w:bCs/>
                <w:sz w:val="20"/>
                <w:szCs w:val="20"/>
                <w:lang w:val="ru-RU"/>
              </w:rPr>
              <w:t xml:space="preserve">рік</w:t>
            </w:r>
            <w:r/>
          </w:p>
        </w:tc>
      </w:tr>
      <w:tr>
        <w:trPr>
          <w:trHeight w:val="355"/>
        </w:trPr>
        <w:tc>
          <w:tcPr>
            <w:tcBorders>
              <w:top w:val="single" w:color="auto" w:sz="4" w:space="0"/>
              <w:left w:val="single" w:color="auto" w:sz="4" w:space="0"/>
              <w:bottom w:val="single" w:color="auto" w:sz="4" w:space="0"/>
              <w:right w:val="single" w:color="auto" w:sz="4" w:space="0"/>
            </w:tcBorders>
            <w:tcW w:w="401" w:type="dxa"/>
            <w:vAlign w:val="center"/>
            <w:textDirection w:val="lrTb"/>
            <w:noWrap/>
          </w:tcPr>
          <w:p>
            <w:pPr>
              <w:jc w:val="center"/>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1</w:t>
            </w:r>
            <w:r/>
          </w:p>
        </w:tc>
        <w:tc>
          <w:tcPr>
            <w:tcBorders>
              <w:top w:val="single" w:color="auto" w:sz="4" w:space="0"/>
              <w:left w:val="single" w:color="auto" w:sz="4" w:space="0"/>
              <w:bottom w:val="single" w:color="auto" w:sz="4" w:space="0"/>
              <w:right w:val="single" w:color="auto" w:sz="4" w:space="0"/>
            </w:tcBorders>
            <w:tcW w:w="1391" w:type="dxa"/>
            <w:vAlign w:val="center"/>
            <w:textDirection w:val="lrTb"/>
            <w:noWrap/>
          </w:tcPr>
          <w:p>
            <w:pPr>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вул</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Козацької</w:t>
            </w:r>
            <w:r>
              <w:rPr>
                <w:rFonts w:ascii="Times New Roman" w:hAnsi="Times New Roman" w:cs="Times New Roman"/>
                <w:b/>
                <w:bCs/>
                <w:sz w:val="20"/>
                <w:szCs w:val="20"/>
                <w:lang w:val="ru-RU"/>
              </w:rPr>
              <w:t xml:space="preserve"> </w:t>
            </w:r>
            <w:r>
              <w:rPr>
                <w:rFonts w:ascii="Times New Roman" w:hAnsi="Times New Roman" w:cs="Times New Roman"/>
                <w:b/>
                <w:bCs/>
                <w:sz w:val="20"/>
                <w:szCs w:val="20"/>
                <w:lang w:val="ru-RU"/>
              </w:rPr>
              <w:t xml:space="preserve">слави</w:t>
            </w:r>
            <w:r>
              <w:rPr>
                <w:rFonts w:ascii="Times New Roman" w:hAnsi="Times New Roman" w:cs="Times New Roman"/>
                <w:b/>
                <w:bCs/>
                <w:sz w:val="20"/>
                <w:szCs w:val="20"/>
                <w:lang w:val="ru-RU"/>
              </w:rPr>
              <w:t xml:space="preserve">, 4А, м. Хотин, </w:t>
            </w:r>
            <w:r>
              <w:rPr>
                <w:rFonts w:ascii="Times New Roman" w:hAnsi="Times New Roman" w:cs="Times New Roman"/>
                <w:b/>
                <w:bCs/>
                <w:sz w:val="20"/>
                <w:szCs w:val="20"/>
                <w:lang w:val="ru-RU"/>
              </w:rPr>
              <w:t xml:space="preserve">Дністровський</w:t>
            </w:r>
            <w:r>
              <w:rPr>
                <w:rFonts w:ascii="Times New Roman" w:hAnsi="Times New Roman" w:cs="Times New Roman"/>
                <w:b/>
                <w:bCs/>
                <w:sz w:val="20"/>
                <w:szCs w:val="20"/>
                <w:lang w:val="ru-RU"/>
              </w:rPr>
              <w:t xml:space="preserve"> р-н, </w:t>
            </w:r>
            <w:r>
              <w:rPr>
                <w:rFonts w:ascii="Times New Roman" w:hAnsi="Times New Roman" w:cs="Times New Roman"/>
                <w:b/>
                <w:bCs/>
                <w:sz w:val="20"/>
                <w:szCs w:val="20"/>
                <w:lang w:val="ru-RU"/>
              </w:rPr>
              <w:t xml:space="preserve">Чернівецької</w:t>
            </w:r>
            <w:r>
              <w:rPr>
                <w:rFonts w:ascii="Times New Roman" w:hAnsi="Times New Roman" w:cs="Times New Roman"/>
                <w:b/>
                <w:bCs/>
                <w:sz w:val="20"/>
                <w:szCs w:val="20"/>
                <w:lang w:val="ru-RU"/>
              </w:rPr>
              <w:t xml:space="preserve"> обл.</w:t>
            </w:r>
            <w:r/>
          </w:p>
          <w:p>
            <w:pPr>
              <w:spacing w:after="0" w:line="254" w:lineRule="auto"/>
              <w:rPr>
                <w:rFonts w:ascii="Times New Roman" w:hAnsi="Times New Roman" w:eastAsia="Calibri" w:cs="Times New Roman"/>
                <w:b/>
                <w:bCs/>
                <w:color w:val="000000"/>
                <w:sz w:val="20"/>
                <w:szCs w:val="20"/>
                <w:lang w:val="ru-RU"/>
              </w:rPr>
            </w:pPr>
            <w:r>
              <w:rPr>
                <w:rFonts w:ascii="Times New Roman" w:hAnsi="Times New Roman" w:eastAsia="Calibri" w:cs="Times New Roman"/>
                <w:b/>
                <w:bCs/>
                <w:color w:val="000000"/>
                <w:sz w:val="20"/>
                <w:szCs w:val="20"/>
                <w:lang w:val="ru-RU"/>
              </w:rPr>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08" w:right="-108"/>
              <w:jc w:val="center"/>
              <w:spacing w:after="0" w:line="256" w:lineRule="auto"/>
              <w:rPr>
                <w:rFonts w:ascii="Times New Roman" w:hAnsi="Times New Roman" w:eastAsia="Times New Roman" w:cs="Times New Roman"/>
                <w:b/>
                <w:bCs/>
                <w:color w:val="000000"/>
                <w:sz w:val="20"/>
                <w:szCs w:val="20"/>
                <w:shd w:val="clear" w:color="auto" w:fill="ffffff"/>
                <w:lang w:val="ru-RU" w:eastAsia="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08" w:right="-92"/>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24" w:right="-76"/>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40" w:right="-60"/>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56" w:right="-108"/>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24" w:right="-196"/>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08" w:right="-108"/>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shd w:val="clear" w:color="auto" w:fill="ffffff"/>
            <w:tcBorders>
              <w:top w:val="single" w:color="auto" w:sz="4" w:space="0"/>
              <w:left w:val="single" w:color="auto" w:sz="4" w:space="0"/>
              <w:bottom w:val="single" w:color="auto" w:sz="4" w:space="0"/>
              <w:right w:val="single" w:color="auto" w:sz="4" w:space="0"/>
            </w:tcBorders>
            <w:tcW w:w="538" w:type="dxa"/>
            <w:vAlign w:val="center"/>
            <w:textDirection w:val="lrTb"/>
            <w:noWrap/>
          </w:tcPr>
          <w:p>
            <w:pPr>
              <w:ind w:left="-108" w:right="-156"/>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w:t>
            </w:r>
            <w:r/>
          </w:p>
        </w:tc>
        <w:tc>
          <w:tcPr>
            <w:tcBorders>
              <w:top w:val="single" w:color="auto" w:sz="4" w:space="0"/>
              <w:left w:val="single" w:color="auto" w:sz="4" w:space="0"/>
              <w:bottom w:val="single" w:color="auto" w:sz="4" w:space="0"/>
              <w:right w:val="single" w:color="auto" w:sz="4" w:space="0"/>
            </w:tcBorders>
            <w:tcW w:w="787" w:type="dxa"/>
            <w:vAlign w:val="center"/>
            <w:textDirection w:val="lrTb"/>
            <w:noWrap/>
          </w:tcPr>
          <w:p>
            <w:pPr>
              <w:ind w:left="-108"/>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21100,00</w:t>
            </w:r>
            <w:r/>
          </w:p>
        </w:tc>
        <w:tc>
          <w:tcPr>
            <w:shd w:val="clear" w:color="auto" w:fill="ffffff"/>
            <w:tcBorders>
              <w:top w:val="single" w:color="auto" w:sz="4" w:space="0"/>
              <w:left w:val="single" w:color="auto" w:sz="4" w:space="0"/>
              <w:bottom w:val="single" w:color="auto" w:sz="4" w:space="0"/>
              <w:right w:val="single" w:color="auto" w:sz="4" w:space="0"/>
            </w:tcBorders>
            <w:tcW w:w="848" w:type="dxa"/>
            <w:vAlign w:val="center"/>
            <w:textDirection w:val="lrTb"/>
            <w:noWrap/>
          </w:tcPr>
          <w:p>
            <w:pPr>
              <w:ind w:left="-108" w:right="-44"/>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21100,00</w:t>
            </w:r>
            <w:r/>
          </w:p>
        </w:tc>
        <w:tc>
          <w:tcPr>
            <w:shd w:val="clear" w:color="auto" w:fill="ffffff"/>
            <w:tcBorders>
              <w:top w:val="single" w:color="auto" w:sz="4" w:space="0"/>
              <w:left w:val="single" w:color="auto" w:sz="4" w:space="0"/>
              <w:bottom w:val="single" w:color="auto" w:sz="4" w:space="0"/>
              <w:right w:val="single" w:color="auto" w:sz="4" w:space="0"/>
            </w:tcBorders>
            <w:tcW w:w="848" w:type="dxa"/>
            <w:vAlign w:val="center"/>
            <w:textDirection w:val="lrTb"/>
            <w:noWrap/>
          </w:tcPr>
          <w:p>
            <w:pPr>
              <w:ind w:left="-52" w:right="-108"/>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20150,00</w:t>
            </w:r>
            <w:r/>
          </w:p>
        </w:tc>
        <w:tc>
          <w:tcPr>
            <w:shd w:val="clear" w:color="auto" w:fill="ffffff"/>
            <w:tcBorders>
              <w:top w:val="single" w:color="auto" w:sz="4" w:space="0"/>
              <w:left w:val="single" w:color="auto" w:sz="4" w:space="0"/>
              <w:bottom w:val="single" w:color="auto" w:sz="4" w:space="0"/>
              <w:right w:val="single" w:color="auto" w:sz="4" w:space="0"/>
            </w:tcBorders>
            <w:tcW w:w="848" w:type="dxa"/>
            <w:vAlign w:val="center"/>
            <w:textDirection w:val="lrTb"/>
            <w:noWrap/>
          </w:tcPr>
          <w:p>
            <w:pPr>
              <w:ind w:left="-108" w:right="-108"/>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20150,00</w:t>
            </w:r>
            <w:r/>
          </w:p>
        </w:tc>
        <w:tc>
          <w:tcPr>
            <w:tcBorders>
              <w:top w:val="single" w:color="auto" w:sz="4" w:space="0"/>
              <w:left w:val="single" w:color="auto" w:sz="4" w:space="0"/>
              <w:bottom w:val="single" w:color="auto" w:sz="4" w:space="0"/>
              <w:right w:val="single" w:color="auto" w:sz="4" w:space="0"/>
            </w:tcBorders>
            <w:tcW w:w="895" w:type="dxa"/>
            <w:vAlign w:val="center"/>
            <w:textDirection w:val="lrTb"/>
            <w:noWrap/>
          </w:tcPr>
          <w:p>
            <w:pPr>
              <w:jc w:val="center"/>
              <w:spacing w:after="0" w:line="240" w:lineRule="auto"/>
              <w:rPr>
                <w:rFonts w:ascii="Times New Roman" w:hAnsi="Times New Roman" w:cs="Times New Roman"/>
                <w:b/>
                <w:bCs/>
                <w:color w:val="000000"/>
                <w:sz w:val="20"/>
                <w:szCs w:val="20"/>
                <w:shd w:val="clear" w:color="auto" w:fill="ffffff"/>
                <w:lang w:val="ru-RU"/>
              </w:rPr>
            </w:pPr>
            <w:r>
              <w:rPr>
                <w:rFonts w:ascii="Times New Roman" w:hAnsi="Times New Roman" w:cs="Times New Roman"/>
                <w:b/>
                <w:bCs/>
                <w:color w:val="000000"/>
                <w:sz w:val="20"/>
                <w:szCs w:val="20"/>
                <w:shd w:val="clear" w:color="auto" w:fill="ffffff"/>
                <w:lang w:val="ru-RU"/>
              </w:rPr>
              <w:t xml:space="preserve">82 500,00</w:t>
            </w:r>
            <w:r/>
          </w:p>
        </w:tc>
      </w:tr>
      <w:tr>
        <w:trPr>
          <w:trHeight w:val="355"/>
        </w:trPr>
        <w:tc>
          <w:tcPr>
            <w:gridSpan w:val="2"/>
            <w:tcBorders>
              <w:top w:val="single" w:color="auto" w:sz="4" w:space="0"/>
              <w:left w:val="single" w:color="auto" w:sz="4" w:space="0"/>
              <w:bottom w:val="single" w:color="auto" w:sz="4" w:space="0"/>
              <w:right w:val="single" w:color="auto" w:sz="4" w:space="0"/>
            </w:tcBorders>
            <w:tcW w:w="1793" w:type="dxa"/>
            <w:vAlign w:val="center"/>
            <w:textDirection w:val="lrTb"/>
            <w:noWrap/>
          </w:tcPr>
          <w:p>
            <w:pPr>
              <w:jc w:val="right"/>
              <w:spacing w:after="0" w:line="256" w:lineRule="auto"/>
              <w:rPr>
                <w:rFonts w:ascii="Times New Roman" w:hAnsi="Times New Roman" w:cs="Times New Roman"/>
                <w:b/>
                <w:bCs/>
                <w:sz w:val="20"/>
                <w:szCs w:val="20"/>
                <w:lang w:val="ru-RU"/>
              </w:rPr>
            </w:pPr>
            <w:r>
              <w:rPr>
                <w:rFonts w:ascii="Times New Roman" w:hAnsi="Times New Roman" w:cs="Times New Roman"/>
                <w:b/>
                <w:bCs/>
                <w:sz w:val="20"/>
                <w:szCs w:val="20"/>
                <w:lang w:val="ru-RU"/>
              </w:rPr>
              <w:t xml:space="preserve">ВСЬОГО:</w:t>
            </w:r>
            <w:r/>
          </w:p>
        </w:tc>
        <w:tc>
          <w:tcPr>
            <w:tcBorders>
              <w:top w:val="single" w:color="auto" w:sz="4" w:space="0"/>
              <w:left w:val="none" w:color="000000" w:sz="4" w:space="0"/>
              <w:bottom w:val="single" w:color="auto" w:sz="4" w:space="0"/>
              <w:right w:val="single" w:color="auto" w:sz="4" w:space="0"/>
            </w:tcBorders>
            <w:tcW w:w="538" w:type="dxa"/>
            <w:vAlign w:val="center"/>
            <w:textDirection w:val="lrTb"/>
            <w:noWrap/>
          </w:tcPr>
          <w:p>
            <w:pPr>
              <w:jc w:val="center"/>
              <w:spacing w:after="0" w:line="256"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53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w:t>
            </w:r>
            <w:r/>
          </w:p>
        </w:tc>
        <w:tc>
          <w:tcPr>
            <w:tcBorders>
              <w:top w:val="single" w:color="auto" w:sz="4" w:space="0"/>
              <w:left w:val="single" w:color="auto" w:sz="4" w:space="0"/>
              <w:bottom w:val="single" w:color="auto" w:sz="4" w:space="0"/>
              <w:right w:val="single" w:color="auto" w:sz="4" w:space="0"/>
            </w:tcBorders>
            <w:tcW w:w="787"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21100,00</w:t>
            </w:r>
            <w:r/>
          </w:p>
        </w:tc>
        <w:tc>
          <w:tcPr>
            <w:tcBorders>
              <w:top w:val="single" w:color="auto" w:sz="4" w:space="0"/>
              <w:left w:val="single" w:color="auto" w:sz="4" w:space="0"/>
              <w:bottom w:val="single" w:color="auto" w:sz="4" w:space="0"/>
              <w:right w:val="single" w:color="auto" w:sz="4" w:space="0"/>
            </w:tcBorders>
            <w:tcW w:w="84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21100,00</w:t>
            </w:r>
            <w:r/>
          </w:p>
        </w:tc>
        <w:tc>
          <w:tcPr>
            <w:tcBorders>
              <w:top w:val="single" w:color="auto" w:sz="4" w:space="0"/>
              <w:left w:val="single" w:color="auto" w:sz="4" w:space="0"/>
              <w:bottom w:val="single" w:color="auto" w:sz="4" w:space="0"/>
              <w:right w:val="single" w:color="auto" w:sz="4" w:space="0"/>
            </w:tcBorders>
            <w:tcW w:w="84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20150,00</w:t>
            </w:r>
            <w:r/>
          </w:p>
        </w:tc>
        <w:tc>
          <w:tcPr>
            <w:tcBorders>
              <w:top w:val="single" w:color="auto" w:sz="4" w:space="0"/>
              <w:left w:val="single" w:color="auto" w:sz="4" w:space="0"/>
              <w:bottom w:val="single" w:color="auto" w:sz="4" w:space="0"/>
              <w:right w:val="single" w:color="auto" w:sz="4" w:space="0"/>
            </w:tcBorders>
            <w:tcW w:w="848"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20150,00</w:t>
            </w:r>
            <w:r/>
          </w:p>
        </w:tc>
        <w:tc>
          <w:tcPr>
            <w:tcBorders>
              <w:top w:val="single" w:color="auto" w:sz="4" w:space="0"/>
              <w:left w:val="single" w:color="auto" w:sz="4" w:space="0"/>
              <w:bottom w:val="single" w:color="auto" w:sz="4" w:space="0"/>
              <w:right w:val="single" w:color="auto" w:sz="4" w:space="0"/>
            </w:tcBorders>
            <w:tcW w:w="895" w:type="dxa"/>
            <w:vAlign w:val="center"/>
            <w:textDirection w:val="lrTb"/>
            <w:noWrap/>
          </w:tcPr>
          <w:p>
            <w:pPr>
              <w:jc w:val="center"/>
              <w:spacing w:after="0" w:line="240" w:lineRule="auto"/>
              <w:rPr>
                <w:rFonts w:ascii="Times New Roman" w:hAnsi="Times New Roman" w:cs="Times New Roman"/>
                <w:b/>
                <w:bCs/>
                <w:color w:val="000000"/>
                <w:sz w:val="20"/>
                <w:szCs w:val="20"/>
                <w:lang w:val="ru-RU"/>
              </w:rPr>
            </w:pPr>
            <w:r>
              <w:rPr>
                <w:rFonts w:ascii="Times New Roman" w:hAnsi="Times New Roman" w:cs="Times New Roman"/>
                <w:b/>
                <w:bCs/>
                <w:color w:val="000000"/>
                <w:sz w:val="20"/>
                <w:szCs w:val="20"/>
                <w:lang w:val="ru-RU"/>
              </w:rPr>
              <w:t xml:space="preserve">82 500,00</w:t>
            </w:r>
            <w:r/>
          </w:p>
        </w:tc>
      </w:tr>
    </w:tbl>
    <w:p>
      <w:pPr>
        <w:rPr>
          <w:rFonts w:ascii="Times New Roman" w:hAnsi="Times New Roman" w:eastAsia="Calibri" w:cs="Times New Roman"/>
          <w:b/>
          <w:bCs/>
          <w:lang w:eastAsia="ru-RU"/>
        </w:rPr>
      </w:pPr>
      <w:r>
        <w:rPr>
          <w:rFonts w:ascii="Times New Roman" w:hAnsi="Times New Roman" w:eastAsia="Calibri" w:cs="Times New Roman"/>
          <w:b/>
          <w:bCs/>
          <w:lang w:eastAsia="ru-RU"/>
        </w:rPr>
      </w:r>
      <w:r/>
    </w:p>
    <w:p>
      <w:pPr>
        <w:ind w:left="-284"/>
        <w:jc w:val="right"/>
        <w:spacing w:line="256" w:lineRule="auto"/>
        <w:rPr>
          <w:rFonts w:ascii="Times New Roman" w:hAnsi="Times New Roman" w:eastAsia="Times New Roman" w:cs="Times New Roman"/>
          <w:b/>
          <w:bCs/>
        </w:rPr>
      </w:pPr>
      <w:r>
        <w:rPr>
          <w:rFonts w:ascii="Times New Roman" w:hAnsi="Times New Roman" w:eastAsia="Calibri" w:cs="Times New Roman"/>
          <w:b/>
          <w:bCs/>
        </w:rPr>
        <w:br w:type="page" w:clear="all"/>
      </w:r>
      <w:r>
        <w:rPr>
          <w:rFonts w:ascii="Times New Roman" w:hAnsi="Times New Roman" w:cs="Times New Roman"/>
          <w:b/>
          <w:bCs/>
        </w:rPr>
        <w:t xml:space="preserve">Додаток № 2 </w:t>
      </w:r>
      <w:r/>
    </w:p>
    <w:p>
      <w:pPr>
        <w:ind w:left="5812"/>
        <w:jc w:val="both"/>
        <w:rPr>
          <w:rFonts w:ascii="Times New Roman" w:hAnsi="Times New Roman" w:cs="Times New Roman"/>
          <w:b/>
          <w:bCs/>
        </w:rPr>
      </w:pPr>
      <w:r>
        <w:rPr>
          <w:rFonts w:ascii="Times New Roman" w:hAnsi="Times New Roman" w:cs="Times New Roman"/>
          <w:b/>
          <w:bCs/>
        </w:rPr>
        <w:t xml:space="preserve">до</w:t>
      </w:r>
      <w:r>
        <w:rPr>
          <w:rFonts w:ascii="Times New Roman" w:hAnsi="Times New Roman" w:cs="Times New Roman"/>
          <w:b/>
          <w:bCs/>
          <w:color w:val="000000"/>
        </w:rPr>
        <w:t xml:space="preserve"> і</w:t>
      </w:r>
      <w:r>
        <w:rPr>
          <w:rFonts w:ascii="Times New Roman" w:hAnsi="Times New Roman" w:cs="Times New Roman"/>
          <w:b/>
          <w:bCs/>
        </w:rPr>
        <w:t xml:space="preserve">нформації про необхідні технічні, якісні та кількісні характеристики предмета закупівлі (технічна специфікація)</w:t>
      </w:r>
      <w:r/>
    </w:p>
    <w:p>
      <w:pPr>
        <w:jc w:val="right"/>
        <w:rPr>
          <w:rFonts w:ascii="Times New Roman" w:hAnsi="Times New Roman" w:eastAsia="Calibri" w:cs="Times New Roman"/>
          <w:b/>
          <w:bCs/>
        </w:rPr>
      </w:pPr>
      <w:r>
        <w:rPr>
          <w:rFonts w:ascii="Times New Roman" w:hAnsi="Times New Roman" w:eastAsia="Calibri" w:cs="Times New Roman"/>
          <w:b/>
          <w:bCs/>
        </w:rPr>
      </w:r>
      <w:r/>
    </w:p>
    <w:p>
      <w:pPr>
        <w:jc w:val="right"/>
        <w:rPr>
          <w:rFonts w:ascii="Times New Roman" w:hAnsi="Times New Roman" w:eastAsia="Calibri" w:cs="Times New Roman"/>
          <w:b/>
          <w:bCs/>
        </w:rPr>
      </w:pPr>
      <w:r>
        <w:rPr>
          <w:rFonts w:ascii="Times New Roman" w:hAnsi="Times New Roman" w:eastAsia="Calibri" w:cs="Times New Roman"/>
          <w:b/>
          <w:bCs/>
        </w:rPr>
      </w:r>
      <w:r/>
    </w:p>
    <w:p>
      <w:pPr>
        <w:jc w:val="center"/>
        <w:rPr>
          <w:rFonts w:ascii="Times New Roman" w:hAnsi="Times New Roman" w:eastAsia="Calibri" w:cs="Times New Roman"/>
          <w:b/>
          <w:bCs/>
        </w:rPr>
      </w:pPr>
      <w:r>
        <w:rPr>
          <w:rFonts w:ascii="Times New Roman" w:hAnsi="Times New Roman" w:eastAsia="Calibri" w:cs="Times New Roman"/>
          <w:b/>
          <w:bCs/>
        </w:rPr>
        <w:t xml:space="preserve">Перелік адрес та ЕІС-коди точок комерційного обліку об’єктів</w:t>
      </w:r>
      <w:r/>
    </w:p>
    <w:tbl>
      <w:tblPr>
        <w:tblpPr w:horzAnchor="margin" w:tblpX="-217" w:vertAnchor="text" w:tblpY="196" w:leftFromText="180" w:topFromText="0" w:rightFromText="180" w:bottomFromText="160"/>
        <w:tblW w:w="535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31"/>
        <w:gridCol w:w="3442"/>
        <w:gridCol w:w="2763"/>
        <w:gridCol w:w="1972"/>
        <w:gridCol w:w="851"/>
        <w:gridCol w:w="742"/>
      </w:tblGrid>
      <w:tr>
        <w:trPr>
          <w:trHeight w:val="413"/>
          <w:tblHeader/>
        </w:trPr>
        <w:tc>
          <w:tcPr>
            <w:tcBorders>
              <w:top w:val="single" w:color="auto" w:sz="4" w:space="0"/>
              <w:left w:val="single" w:color="auto" w:sz="4" w:space="0"/>
              <w:bottom w:val="single" w:color="auto" w:sz="4" w:space="0"/>
              <w:right w:val="single" w:color="auto" w:sz="4" w:space="0"/>
            </w:tcBorders>
            <w:tcW w:w="258" w:type="pct"/>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 з/п</w:t>
            </w:r>
            <w:r/>
          </w:p>
        </w:tc>
        <w:tc>
          <w:tcPr>
            <w:tcBorders>
              <w:top w:val="single" w:color="auto" w:sz="4" w:space="0"/>
              <w:left w:val="single" w:color="auto" w:sz="4" w:space="0"/>
              <w:bottom w:val="single" w:color="auto" w:sz="4" w:space="0"/>
              <w:right w:val="single" w:color="auto" w:sz="4" w:space="0"/>
            </w:tcBorders>
            <w:tcW w:w="1671"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Вид </w:t>
            </w:r>
            <w:r>
              <w:rPr>
                <w:rFonts w:ascii="Times New Roman" w:hAnsi="Times New Roman" w:eastAsia="Calibri" w:cs="Times New Roman"/>
                <w:b/>
                <w:bCs/>
                <w:lang w:val="ru-RU"/>
              </w:rPr>
              <w:t xml:space="preserve">об'єкта</w:t>
            </w:r>
            <w:r/>
          </w:p>
        </w:tc>
        <w:tc>
          <w:tcPr>
            <w:tcBorders>
              <w:top w:val="single" w:color="auto" w:sz="4" w:space="0"/>
              <w:left w:val="single" w:color="auto" w:sz="4" w:space="0"/>
              <w:bottom w:val="single" w:color="auto" w:sz="4" w:space="0"/>
              <w:right w:val="single" w:color="auto" w:sz="4" w:space="0"/>
            </w:tcBorders>
            <w:tcW w:w="1341"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Адреса </w:t>
            </w:r>
            <w:r>
              <w:rPr>
                <w:rFonts w:ascii="Times New Roman" w:hAnsi="Times New Roman" w:eastAsia="Calibri" w:cs="Times New Roman"/>
                <w:b/>
                <w:bCs/>
                <w:lang w:val="ru-RU"/>
              </w:rPr>
              <w:t xml:space="preserve">об’єкта</w:t>
            </w:r>
            <w:r/>
          </w:p>
        </w:tc>
        <w:tc>
          <w:tcPr>
            <w:tcBorders>
              <w:top w:val="single" w:color="auto" w:sz="4" w:space="0"/>
              <w:left w:val="single" w:color="auto" w:sz="4" w:space="0"/>
              <w:bottom w:val="single" w:color="auto" w:sz="4" w:space="0"/>
              <w:right w:val="single" w:color="auto" w:sz="4" w:space="0"/>
            </w:tcBorders>
            <w:tcW w:w="957"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ЕІС-код точки </w:t>
            </w:r>
            <w:r>
              <w:rPr>
                <w:rFonts w:ascii="Times New Roman" w:hAnsi="Times New Roman" w:eastAsia="Calibri" w:cs="Times New Roman"/>
                <w:b/>
                <w:bCs/>
                <w:lang w:val="ru-RU"/>
              </w:rPr>
              <w:t xml:space="preserve">обліку</w:t>
            </w:r>
            <w:r/>
          </w:p>
        </w:tc>
        <w:tc>
          <w:tcPr>
            <w:tcBorders>
              <w:top w:val="single" w:color="auto" w:sz="4" w:space="0"/>
              <w:left w:val="single" w:color="auto" w:sz="4" w:space="0"/>
              <w:bottom w:val="single" w:color="auto" w:sz="4" w:space="0"/>
              <w:right w:val="single" w:color="auto" w:sz="4" w:space="0"/>
            </w:tcBorders>
            <w:tcW w:w="413"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Група</w:t>
            </w:r>
            <w:r/>
          </w:p>
        </w:tc>
        <w:tc>
          <w:tcPr>
            <w:tcBorders>
              <w:top w:val="single" w:color="auto" w:sz="4" w:space="0"/>
              <w:left w:val="single" w:color="auto" w:sz="4" w:space="0"/>
              <w:bottom w:val="single" w:color="auto" w:sz="4" w:space="0"/>
              <w:right w:val="single" w:color="auto" w:sz="4" w:space="0"/>
            </w:tcBorders>
            <w:tcW w:w="360"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Клас</w:t>
            </w:r>
            <w:r/>
          </w:p>
        </w:tc>
      </w:tr>
      <w:tr>
        <w:trPr/>
        <w:tc>
          <w:tcPr>
            <w:tcBorders>
              <w:top w:val="single" w:color="auto" w:sz="4" w:space="0"/>
              <w:left w:val="single" w:color="auto" w:sz="4" w:space="0"/>
              <w:bottom w:val="single" w:color="auto" w:sz="4" w:space="0"/>
              <w:right w:val="single" w:color="auto" w:sz="4" w:space="0"/>
            </w:tcBorders>
            <w:tcW w:w="258" w:type="pct"/>
            <w:vAlign w:val="center"/>
            <w:textDirection w:val="lrTb"/>
            <w:noWrap w:val="false"/>
          </w:tcPr>
          <w:p>
            <w:pPr>
              <w:jc w:val="center"/>
              <w:spacing w:line="256" w:lineRule="auto"/>
              <w:rPr>
                <w:rFonts w:ascii="Times New Roman" w:hAnsi="Times New Roman" w:eastAsia="Calibri" w:cs="Times New Roman"/>
                <w:b/>
                <w:bCs/>
                <w:color w:val="000000"/>
                <w:lang w:val="ru-RU"/>
              </w:rPr>
            </w:pPr>
            <w:r>
              <w:rPr>
                <w:rFonts w:ascii="Times New Roman" w:hAnsi="Times New Roman" w:eastAsia="Calibri" w:cs="Times New Roman"/>
                <w:b/>
                <w:bCs/>
                <w:color w:val="000000"/>
                <w:lang w:val="ru-RU"/>
              </w:rPr>
              <w:t xml:space="preserve">1</w:t>
            </w:r>
            <w:r/>
          </w:p>
        </w:tc>
        <w:tc>
          <w:tcPr>
            <w:tcBorders>
              <w:top w:val="single" w:color="auto" w:sz="4" w:space="0"/>
              <w:left w:val="single" w:color="auto" w:sz="4" w:space="0"/>
              <w:bottom w:val="single" w:color="auto" w:sz="4" w:space="0"/>
              <w:right w:val="single" w:color="auto" w:sz="4" w:space="0"/>
            </w:tcBorders>
            <w:tcW w:w="1671" w:type="pct"/>
            <w:vAlign w:val="center"/>
            <w:textDirection w:val="lrTb"/>
            <w:noWrap w:val="false"/>
          </w:tcPr>
          <w:p>
            <w:pPr>
              <w:spacing w:line="256" w:lineRule="auto"/>
              <w:rPr>
                <w:rFonts w:ascii="Times New Roman" w:hAnsi="Times New Roman" w:eastAsia="Calibri" w:cs="Times New Roman"/>
                <w:b/>
                <w:bCs/>
                <w:color w:val="000000"/>
                <w:lang w:val="ru-RU"/>
              </w:rPr>
              <w:outlineLvl w:val="0"/>
            </w:pPr>
            <w:r>
              <w:rPr>
                <w:rFonts w:ascii="Times New Roman" w:hAnsi="Times New Roman" w:cs="Times New Roman"/>
                <w:b/>
                <w:bCs/>
                <w:lang w:val="ru-RU"/>
              </w:rPr>
              <w:t xml:space="preserve">програмно-апаратний</w:t>
            </w:r>
            <w:r>
              <w:rPr>
                <w:rFonts w:ascii="Times New Roman" w:hAnsi="Times New Roman" w:cs="Times New Roman"/>
                <w:b/>
                <w:bCs/>
                <w:lang w:val="ru-RU"/>
              </w:rPr>
              <w:t xml:space="preserve"> комплекс </w:t>
            </w:r>
            <w:r>
              <w:rPr>
                <w:rFonts w:ascii="Times New Roman" w:hAnsi="Times New Roman" w:cs="Times New Roman"/>
                <w:b/>
                <w:bCs/>
                <w:lang w:val="ru-RU"/>
              </w:rPr>
              <w:t xml:space="preserve">інформаційно-комунікаційної</w:t>
            </w:r>
            <w:r>
              <w:rPr>
                <w:rFonts w:ascii="Times New Roman" w:hAnsi="Times New Roman" w:cs="Times New Roman"/>
                <w:b/>
                <w:bCs/>
                <w:lang w:val="ru-RU"/>
              </w:rPr>
              <w:t xml:space="preserve"> </w:t>
            </w:r>
            <w:r>
              <w:rPr>
                <w:rFonts w:ascii="Times New Roman" w:hAnsi="Times New Roman" w:cs="Times New Roman"/>
                <w:b/>
                <w:bCs/>
                <w:lang w:val="ru-RU"/>
              </w:rPr>
              <w:t xml:space="preserve">системи</w:t>
            </w:r>
            <w:r>
              <w:rPr>
                <w:rFonts w:ascii="Times New Roman" w:hAnsi="Times New Roman" w:cs="Times New Roman"/>
                <w:b/>
                <w:bCs/>
                <w:lang w:val="ru-RU"/>
              </w:rPr>
              <w:t xml:space="preserve">, </w:t>
            </w:r>
            <w:r>
              <w:rPr>
                <w:rFonts w:ascii="Times New Roman" w:hAnsi="Times New Roman" w:cs="Times New Roman"/>
                <w:b/>
                <w:bCs/>
                <w:lang w:val="ru-RU"/>
              </w:rPr>
              <w:t xml:space="preserve">технічне</w:t>
            </w:r>
            <w:r>
              <w:rPr>
                <w:rFonts w:ascii="Times New Roman" w:hAnsi="Times New Roman" w:cs="Times New Roman"/>
                <w:b/>
                <w:bCs/>
                <w:lang w:val="ru-RU"/>
              </w:rPr>
              <w:t xml:space="preserve"> </w:t>
            </w:r>
            <w:r>
              <w:rPr>
                <w:rFonts w:ascii="Times New Roman" w:hAnsi="Times New Roman" w:cs="Times New Roman"/>
                <w:b/>
                <w:bCs/>
                <w:lang w:val="ru-RU"/>
              </w:rPr>
              <w:t xml:space="preserve">обладнання</w:t>
            </w:r>
            <w:r>
              <w:rPr>
                <w:rFonts w:ascii="Times New Roman" w:hAnsi="Times New Roman" w:cs="Times New Roman"/>
                <w:b/>
                <w:bCs/>
                <w:lang w:val="ru-RU"/>
              </w:rPr>
              <w:t xml:space="preserve"> </w:t>
            </w:r>
            <w:r>
              <w:rPr>
                <w:rFonts w:ascii="Times New Roman" w:hAnsi="Times New Roman" w:cs="Times New Roman"/>
                <w:b/>
                <w:bCs/>
                <w:lang w:val="ru-RU"/>
              </w:rPr>
              <w:t xml:space="preserve">якого</w:t>
            </w:r>
            <w:r>
              <w:rPr>
                <w:rFonts w:ascii="Times New Roman" w:hAnsi="Times New Roman" w:cs="Times New Roman"/>
                <w:b/>
                <w:bCs/>
                <w:lang w:val="ru-RU"/>
              </w:rPr>
              <w:t xml:space="preserve"> </w:t>
            </w:r>
            <w:r>
              <w:rPr>
                <w:rFonts w:ascii="Times New Roman" w:hAnsi="Times New Roman" w:cs="Times New Roman"/>
                <w:b/>
                <w:bCs/>
                <w:lang w:val="ru-RU"/>
              </w:rPr>
              <w:t xml:space="preserve">використовується</w:t>
            </w:r>
            <w:r>
              <w:rPr>
                <w:rFonts w:ascii="Times New Roman" w:hAnsi="Times New Roman" w:cs="Times New Roman"/>
                <w:b/>
                <w:bCs/>
                <w:lang w:val="ru-RU"/>
              </w:rPr>
              <w:t xml:space="preserve"> в </w:t>
            </w:r>
            <w:r>
              <w:rPr>
                <w:rFonts w:ascii="Times New Roman" w:hAnsi="Times New Roman" w:cs="Times New Roman"/>
                <w:b/>
                <w:bCs/>
                <w:lang w:val="ru-RU"/>
              </w:rPr>
              <w:t xml:space="preserve">апаратній</w:t>
            </w:r>
            <w:r>
              <w:rPr>
                <w:rFonts w:ascii="Times New Roman" w:hAnsi="Times New Roman" w:cs="Times New Roman"/>
                <w:b/>
                <w:bCs/>
                <w:lang w:val="ru-RU"/>
              </w:rPr>
              <w:t xml:space="preserve"> </w:t>
            </w:r>
            <w:r>
              <w:rPr>
                <w:rFonts w:ascii="Times New Roman" w:hAnsi="Times New Roman" w:cs="Times New Roman"/>
                <w:b/>
                <w:bCs/>
                <w:lang w:val="ru-RU"/>
              </w:rPr>
              <w:t xml:space="preserve">частині</w:t>
            </w:r>
            <w:r>
              <w:rPr>
                <w:rFonts w:ascii="Times New Roman" w:hAnsi="Times New Roman" w:cs="Times New Roman"/>
                <w:b/>
                <w:bCs/>
                <w:lang w:val="ru-RU"/>
              </w:rPr>
              <w:t xml:space="preserve"> </w:t>
            </w:r>
            <w:r>
              <w:rPr>
                <w:rFonts w:ascii="Times New Roman" w:hAnsi="Times New Roman" w:cs="Times New Roman"/>
                <w:b/>
                <w:bCs/>
                <w:lang w:val="ru-RU"/>
              </w:rPr>
              <w:t xml:space="preserve">програмного</w:t>
            </w:r>
            <w:r>
              <w:rPr>
                <w:rFonts w:ascii="Times New Roman" w:hAnsi="Times New Roman" w:cs="Times New Roman"/>
                <w:b/>
                <w:bCs/>
                <w:lang w:val="ru-RU"/>
              </w:rPr>
              <w:t xml:space="preserve"> комплексу для Центру </w:t>
            </w:r>
            <w:r>
              <w:rPr>
                <w:rFonts w:ascii="Times New Roman" w:hAnsi="Times New Roman" w:cs="Times New Roman"/>
                <w:b/>
                <w:bCs/>
                <w:lang w:val="ru-RU"/>
              </w:rPr>
              <w:t xml:space="preserve">обробки</w:t>
            </w:r>
            <w:r>
              <w:rPr>
                <w:rFonts w:ascii="Times New Roman" w:hAnsi="Times New Roman" w:cs="Times New Roman"/>
                <w:b/>
                <w:bCs/>
                <w:lang w:val="ru-RU"/>
              </w:rPr>
              <w:t xml:space="preserve"> </w:t>
            </w:r>
            <w:r>
              <w:rPr>
                <w:rFonts w:ascii="Times New Roman" w:hAnsi="Times New Roman" w:cs="Times New Roman"/>
                <w:b/>
                <w:bCs/>
                <w:lang w:val="ru-RU"/>
              </w:rPr>
              <w:t xml:space="preserve">даних</w:t>
            </w:r>
            <w:r/>
          </w:p>
        </w:tc>
        <w:tc>
          <w:tcPr>
            <w:tcBorders>
              <w:top w:val="single" w:color="auto" w:sz="4" w:space="0"/>
              <w:left w:val="single" w:color="auto" w:sz="4" w:space="0"/>
              <w:bottom w:val="single" w:color="auto" w:sz="4" w:space="0"/>
              <w:right w:val="single" w:color="auto" w:sz="4" w:space="0"/>
            </w:tcBorders>
            <w:tcW w:w="1341" w:type="pct"/>
            <w:textDirection w:val="lrTb"/>
            <w:noWrap w:val="false"/>
          </w:tcPr>
          <w:p>
            <w:pPr>
              <w:spacing w:line="256" w:lineRule="auto"/>
              <w:rPr>
                <w:rFonts w:ascii="Times New Roman" w:hAnsi="Times New Roman" w:eastAsia="Times New Roman" w:cs="Times New Roman"/>
                <w:b/>
                <w:bCs/>
                <w:lang w:val="ru-RU"/>
              </w:rPr>
            </w:pPr>
            <w:r>
              <w:rPr>
                <w:rFonts w:ascii="Times New Roman" w:hAnsi="Times New Roman" w:eastAsia="Times New Roman" w:cs="Times New Roman"/>
                <w:b/>
                <w:bCs/>
                <w:lang w:val="ru-RU"/>
              </w:rPr>
            </w:r>
            <w:r/>
          </w:p>
          <w:p>
            <w:pPr>
              <w:spacing w:line="256" w:lineRule="auto"/>
              <w:rPr>
                <w:rFonts w:ascii="Times New Roman" w:hAnsi="Times New Roman" w:cs="Times New Roman"/>
                <w:b/>
                <w:bCs/>
                <w:lang w:val="ru-RU"/>
              </w:rPr>
            </w:pPr>
            <w:r>
              <w:rPr>
                <w:rFonts w:ascii="Times New Roman" w:hAnsi="Times New Roman" w:cs="Times New Roman"/>
                <w:b/>
                <w:bCs/>
                <w:lang w:val="ru-RU"/>
              </w:rPr>
              <w:t xml:space="preserve">вул</w:t>
            </w:r>
            <w:r>
              <w:rPr>
                <w:rFonts w:ascii="Times New Roman" w:hAnsi="Times New Roman" w:cs="Times New Roman"/>
                <w:b/>
                <w:bCs/>
                <w:lang w:val="ru-RU"/>
              </w:rPr>
              <w:t xml:space="preserve">. </w:t>
            </w:r>
            <w:r>
              <w:rPr>
                <w:rFonts w:ascii="Times New Roman" w:hAnsi="Times New Roman" w:cs="Times New Roman"/>
                <w:b/>
                <w:bCs/>
                <w:lang w:val="ru-RU"/>
              </w:rPr>
              <w:t xml:space="preserve">Козацької</w:t>
            </w:r>
            <w:r>
              <w:rPr>
                <w:rFonts w:ascii="Times New Roman" w:hAnsi="Times New Roman" w:cs="Times New Roman"/>
                <w:b/>
                <w:bCs/>
                <w:lang w:val="ru-RU"/>
              </w:rPr>
              <w:t xml:space="preserve"> </w:t>
            </w:r>
            <w:r>
              <w:rPr>
                <w:rFonts w:ascii="Times New Roman" w:hAnsi="Times New Roman" w:cs="Times New Roman"/>
                <w:b/>
                <w:bCs/>
                <w:lang w:val="ru-RU"/>
              </w:rPr>
              <w:t xml:space="preserve">слави</w:t>
            </w:r>
            <w:r>
              <w:rPr>
                <w:rFonts w:ascii="Times New Roman" w:hAnsi="Times New Roman" w:cs="Times New Roman"/>
                <w:b/>
                <w:bCs/>
                <w:lang w:val="ru-RU"/>
              </w:rPr>
              <w:t xml:space="preserve">, 4А, м. Хотин, </w:t>
            </w:r>
            <w:r>
              <w:rPr>
                <w:rFonts w:ascii="Times New Roman" w:hAnsi="Times New Roman" w:cs="Times New Roman"/>
                <w:b/>
                <w:bCs/>
                <w:lang w:val="ru-RU"/>
              </w:rPr>
              <w:t xml:space="preserve">Дністровський</w:t>
            </w:r>
            <w:r>
              <w:rPr>
                <w:rFonts w:ascii="Times New Roman" w:hAnsi="Times New Roman" w:cs="Times New Roman"/>
                <w:b/>
                <w:bCs/>
                <w:lang w:val="ru-RU"/>
              </w:rPr>
              <w:t xml:space="preserve"> р-н, </w:t>
            </w:r>
            <w:r>
              <w:rPr>
                <w:rFonts w:ascii="Times New Roman" w:hAnsi="Times New Roman" w:cs="Times New Roman"/>
                <w:b/>
                <w:bCs/>
                <w:lang w:val="ru-RU"/>
              </w:rPr>
              <w:t xml:space="preserve">Чернівецької</w:t>
            </w:r>
            <w:r>
              <w:rPr>
                <w:rFonts w:ascii="Times New Roman" w:hAnsi="Times New Roman" w:cs="Times New Roman"/>
                <w:b/>
                <w:bCs/>
                <w:lang w:val="ru-RU"/>
              </w:rPr>
              <w:t xml:space="preserve"> обл.</w:t>
            </w:r>
            <w:r/>
          </w:p>
          <w:p>
            <w:pPr>
              <w:spacing w:line="256" w:lineRule="auto"/>
              <w:rPr>
                <w:rFonts w:ascii="Times New Roman" w:hAnsi="Times New Roman" w:cs="Times New Roman"/>
                <w:b/>
                <w:bCs/>
                <w:lang w:val="ru-RU"/>
              </w:rPr>
            </w:pPr>
            <w:r>
              <w:rPr>
                <w:rFonts w:ascii="Times New Roman" w:hAnsi="Times New Roman" w:cs="Times New Roman"/>
                <w:b/>
                <w:bCs/>
                <w:lang w:val="ru-RU"/>
              </w:rPr>
            </w:r>
            <w:r/>
          </w:p>
        </w:tc>
        <w:tc>
          <w:tcPr>
            <w:tcBorders>
              <w:top w:val="single" w:color="auto" w:sz="4" w:space="0"/>
              <w:left w:val="single" w:color="auto" w:sz="4" w:space="0"/>
              <w:bottom w:val="single" w:color="auto" w:sz="4" w:space="0"/>
              <w:right w:val="single" w:color="auto" w:sz="4" w:space="0"/>
            </w:tcBorders>
            <w:tcW w:w="957" w:type="pct"/>
            <w:textDirection w:val="lrTb"/>
            <w:noWrap w:val="false"/>
          </w:tcPr>
          <w:p>
            <w:pPr>
              <w:spacing w:line="254" w:lineRule="auto"/>
              <w:rPr>
                <w:rFonts w:ascii="Times New Roman" w:hAnsi="Times New Roman" w:cs="Times New Roman"/>
                <w:b/>
                <w:bCs/>
                <w:color w:val="000000"/>
                <w:shd w:val="clear" w:color="auto" w:fill="ffffff"/>
                <w:lang w:val="ru-RU"/>
              </w:rPr>
            </w:pPr>
            <w:r>
              <w:rPr>
                <w:rFonts w:ascii="Times New Roman" w:hAnsi="Times New Roman" w:cs="Times New Roman"/>
                <w:b/>
                <w:bCs/>
                <w:color w:val="000000"/>
                <w:shd w:val="clear" w:color="auto" w:fill="ffffff"/>
                <w:lang w:val="ru-RU"/>
              </w:rPr>
            </w:r>
            <w:r/>
          </w:p>
          <w:p>
            <w:pPr>
              <w:spacing w:line="254" w:lineRule="auto"/>
              <w:rPr>
                <w:rFonts w:ascii="Times New Roman" w:hAnsi="Times New Roman" w:eastAsia="Calibri" w:cs="Times New Roman"/>
                <w:b/>
                <w:bCs/>
                <w:color w:val="000000"/>
                <w:lang w:val="ru-RU"/>
              </w:rPr>
            </w:pPr>
            <w:r>
              <w:rPr>
                <w:rFonts w:ascii="Times New Roman" w:hAnsi="Times New Roman" w:cs="Times New Roman"/>
                <w:b/>
                <w:bCs/>
                <w:color w:val="000000"/>
                <w:lang w:val="ru-RU"/>
              </w:rPr>
              <w:t xml:space="preserve">буде </w:t>
            </w:r>
            <w:r>
              <w:rPr>
                <w:rFonts w:ascii="Times New Roman" w:hAnsi="Times New Roman" w:cs="Times New Roman"/>
                <w:b/>
                <w:bCs/>
                <w:color w:val="000000"/>
                <w:lang w:val="ru-RU"/>
              </w:rPr>
              <w:t xml:space="preserve">надано</w:t>
            </w:r>
            <w:r>
              <w:rPr>
                <w:rFonts w:ascii="Times New Roman" w:hAnsi="Times New Roman" w:cs="Times New Roman"/>
                <w:b/>
                <w:bCs/>
                <w:color w:val="000000"/>
                <w:lang w:val="ru-RU"/>
              </w:rPr>
              <w:t xml:space="preserve"> до 01.09.2023</w:t>
            </w:r>
            <w:r/>
          </w:p>
        </w:tc>
        <w:tc>
          <w:tcPr>
            <w:tcBorders>
              <w:top w:val="single" w:color="auto" w:sz="4" w:space="0"/>
              <w:left w:val="single" w:color="auto" w:sz="4" w:space="0"/>
              <w:bottom w:val="single" w:color="auto" w:sz="4" w:space="0"/>
              <w:right w:val="single" w:color="auto" w:sz="4" w:space="0"/>
            </w:tcBorders>
            <w:tcW w:w="413" w:type="pct"/>
            <w:vAlign w:val="center"/>
            <w:textDirection w:val="lrTb"/>
            <w:noWrap w:val="false"/>
          </w:tcPr>
          <w:p>
            <w:pPr>
              <w:jc w:val="center"/>
              <w:spacing w:line="256" w:lineRule="auto"/>
              <w:rPr>
                <w:rFonts w:ascii="Times New Roman" w:hAnsi="Times New Roman" w:eastAsia="Calibri" w:cs="Times New Roman"/>
                <w:b/>
                <w:bCs/>
                <w:lang w:val="ru-RU" w:eastAsia="ru-RU"/>
              </w:rPr>
            </w:pPr>
            <w:r>
              <w:rPr>
                <w:rFonts w:ascii="Times New Roman" w:hAnsi="Times New Roman" w:eastAsia="Calibri" w:cs="Times New Roman"/>
                <w:b/>
                <w:bCs/>
                <w:lang w:val="ru-RU"/>
              </w:rPr>
              <w:t xml:space="preserve">Б</w:t>
            </w:r>
            <w:r/>
          </w:p>
        </w:tc>
        <w:tc>
          <w:tcPr>
            <w:tcBorders>
              <w:top w:val="single" w:color="auto" w:sz="4" w:space="0"/>
              <w:left w:val="single" w:color="auto" w:sz="4" w:space="0"/>
              <w:bottom w:val="single" w:color="auto" w:sz="4" w:space="0"/>
              <w:right w:val="single" w:color="auto" w:sz="4" w:space="0"/>
            </w:tcBorders>
            <w:tcW w:w="360" w:type="pct"/>
            <w:vAlign w:val="center"/>
            <w:textDirection w:val="lrTb"/>
            <w:noWrap w:val="false"/>
          </w:tcPr>
          <w:p>
            <w:pPr>
              <w:jc w:val="center"/>
              <w:spacing w:line="256" w:lineRule="auto"/>
              <w:rPr>
                <w:rFonts w:ascii="Times New Roman" w:hAnsi="Times New Roman" w:eastAsia="Calibri" w:cs="Times New Roman"/>
                <w:b/>
                <w:bCs/>
                <w:lang w:val="ru-RU"/>
              </w:rPr>
            </w:pPr>
            <w:r>
              <w:rPr>
                <w:rFonts w:ascii="Times New Roman" w:hAnsi="Times New Roman" w:eastAsia="Calibri" w:cs="Times New Roman"/>
                <w:b/>
                <w:bCs/>
                <w:lang w:val="ru-RU"/>
              </w:rPr>
              <w:t xml:space="preserve">2</w:t>
            </w:r>
            <w:r/>
          </w:p>
        </w:tc>
      </w:tr>
    </w:tbl>
    <w:p>
      <w:pPr>
        <w:ind w:firstLine="357"/>
        <w:jc w:val="center"/>
        <w:spacing w:line="240" w:lineRule="auto"/>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383 901,21</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триста вісімдесят три тисячі дев’ятсот одна гривня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jc w:val="both"/>
        <w:spacing w:after="0" w:line="240" w:lineRule="auto"/>
        <w:shd w:val="clear" w:color="auto" w:fill="ffffff"/>
        <w:rPr>
          <w:rFonts w:ascii="Arial" w:hAnsi="Arial" w:eastAsia="Times New Roman" w:cs="Arial"/>
          <w:color w:val="000000"/>
          <w:sz w:val="24"/>
          <w:szCs w:val="24"/>
          <w:lang w:eastAsia="uk-UA"/>
        </w:rPr>
      </w:pPr>
      <w:r>
        <w:rPr>
          <w:rFonts w:ascii="Times New Roman" w:hAnsi="Times New Roman" w:eastAsia="Times New Roman" w:cs="Times New Roman"/>
          <w:b/>
          <w:sz w:val="24"/>
          <w:szCs w:val="24"/>
          <w:lang w:eastAsia="ru-RU"/>
        </w:rPr>
        <w:t xml:space="preserve">7. Обґрунтування 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w:t>
      </w:r>
      <w:r>
        <w:rPr>
          <w:rFonts w:ascii="Times New Roman" w:hAnsi="Times New Roman" w:eastAsia="Times New Roman" w:cs="Times New Roman"/>
          <w:color w:val="000000"/>
          <w:sz w:val="24"/>
          <w:szCs w:val="24"/>
          <w:lang w:eastAsia="uk-UA"/>
        </w:rPr>
        <w:t xml:space="preserve">Ціну для закупівлі електроенергії для ДУ ЦІТ МВС України пропонуємо</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визначити за формулою: Це = V (</w:t>
      </w:r>
      <w:r>
        <w:rPr>
          <w:rFonts w:ascii="Times New Roman" w:hAnsi="Times New Roman" w:eastAsia="Times New Roman" w:cs="Times New Roman"/>
          <w:color w:val="000000"/>
          <w:sz w:val="24"/>
          <w:szCs w:val="24"/>
          <w:lang w:eastAsia="uk-UA"/>
        </w:rPr>
        <w:t xml:space="preserve">Ц+М+Тосп</w:t>
      </w:r>
      <w:r>
        <w:rPr>
          <w:rFonts w:ascii="Times New Roman" w:hAnsi="Times New Roman" w:eastAsia="Times New Roman" w:cs="Times New Roman"/>
          <w:color w:val="000000"/>
          <w:sz w:val="24"/>
          <w:szCs w:val="24"/>
          <w:lang w:eastAsia="uk-UA"/>
        </w:rPr>
        <w:t xml:space="preserve">) х 1,2</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Це – ціна електричної енергії;</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V – плановий обсяг закупівлі, кВт;</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Ц – середньозважена ціна закупівлі електроенергії, що фактично склалася</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для постачальника на ринку «на добу на перед» у певний період постачання з</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огляду на вимоги пункту 5.1 Правил роздрібного ринку електричної енергії, грн/</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кВт*год. Станом на 19.07.2023 року середньозважена ціна становить – 3,39269</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грн/ кВт*год без ПДВ.</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Ціну ДП «Оператор ринку» розміщує на своєму сайті та охоплює усі</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обов’язкові податки (крім ПДВ, що обліковується окремо), збори та платежі, що</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передбачає законодавство та інші нормативні документи;</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М – маржа постачальника, яка залежить від обсягу споживання,</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грн/кВт*год. та складає – 0 грн/кВт*год.</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w:t>
      </w:r>
      <w:r>
        <w:rPr>
          <w:rFonts w:ascii="Times New Roman" w:hAnsi="Times New Roman" w:eastAsia="Times New Roman" w:cs="Times New Roman"/>
          <w:color w:val="000000"/>
          <w:sz w:val="24"/>
          <w:szCs w:val="24"/>
          <w:lang w:eastAsia="uk-UA"/>
        </w:rPr>
        <w:t xml:space="preserve">Тосп</w:t>
      </w:r>
      <w:r>
        <w:rPr>
          <w:rFonts w:ascii="Times New Roman" w:hAnsi="Times New Roman" w:eastAsia="Times New Roman" w:cs="Times New Roman"/>
          <w:color w:val="000000"/>
          <w:sz w:val="24"/>
          <w:szCs w:val="24"/>
          <w:lang w:eastAsia="uk-UA"/>
        </w:rPr>
        <w:t xml:space="preserve"> – тариф на послуги з передачі електричної енергії, який встановлює</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НКРЕКП відповідно до затвердженої методики. Станом на 01 липня 2023 року</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тариф на послуги з передачі електричної енергії становить 0,4851 грн/кВт*год</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(без ПДВ);</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 1,2 – числове значення ПДВ.</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Відповідно до п. 11 ч.1 ст.9 Закону України «Про публічні закупівлі» та</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Наказу Міністерства розвитку економіки, торгівлі та сільського господарства</w:t>
      </w:r>
      <w:r>
        <w:rPr>
          <w:rFonts w:ascii="Arial" w:hAnsi="Arial" w:eastAsia="Times New Roman" w:cs="Arial"/>
          <w:color w:val="000000"/>
          <w:sz w:val="24"/>
          <w:szCs w:val="24"/>
          <w:lang w:eastAsia="uk-UA"/>
        </w:rPr>
        <w:br/>
      </w:r>
      <w:r>
        <w:rPr>
          <w:rFonts w:ascii="Times New Roman" w:hAnsi="Times New Roman" w:eastAsia="Times New Roman" w:cs="Times New Roman"/>
          <w:color w:val="000000"/>
          <w:sz w:val="24"/>
          <w:szCs w:val="24"/>
          <w:lang w:eastAsia="uk-UA"/>
        </w:rPr>
        <w:t xml:space="preserve">України від 12.02.2020 </w:t>
      </w:r>
      <w:r>
        <w:rPr>
          <w:rFonts w:ascii="Times New Roman" w:hAnsi="Times New Roman" w:eastAsia="Times New Roman" w:cs="Times New Roman"/>
          <w:color w:val="000000"/>
          <w:sz w:val="24"/>
          <w:szCs w:val="24"/>
          <w:lang w:eastAsia="uk-UA"/>
        </w:rPr>
        <w:t xml:space="preserve">No</w:t>
      </w:r>
      <w:r>
        <w:rPr>
          <w:rFonts w:ascii="Times New Roman" w:hAnsi="Times New Roman" w:eastAsia="Times New Roman" w:cs="Times New Roman"/>
          <w:color w:val="000000"/>
          <w:sz w:val="24"/>
          <w:szCs w:val="24"/>
          <w:lang w:eastAsia="uk-UA"/>
        </w:rPr>
        <w:t xml:space="preserve"> 275 «Про затвердження примірної методики визначення</w:t>
      </w:r>
      <w:r/>
    </w:p>
    <w:p>
      <w:pPr>
        <w:jc w:val="both"/>
        <w:spacing w:after="0" w:line="240" w:lineRule="auto"/>
        <w:shd w:val="clear" w:color="auto" w:fill="ffffff"/>
        <w:rPr>
          <w:rFonts w:ascii="Arial" w:hAnsi="Arial" w:eastAsia="Times New Roman" w:cs="Arial"/>
          <w:color w:val="000000"/>
          <w:sz w:val="24"/>
          <w:szCs w:val="24"/>
          <w:lang w:eastAsia="uk-UA"/>
        </w:rPr>
      </w:pPr>
      <w:r>
        <w:rPr>
          <w:rFonts w:ascii="Times New Roman" w:hAnsi="Times New Roman" w:eastAsia="Times New Roman" w:cs="Times New Roman"/>
          <w:color w:val="000000"/>
          <w:sz w:val="24"/>
          <w:szCs w:val="24"/>
          <w:lang w:eastAsia="uk-UA"/>
        </w:rPr>
        <w:t xml:space="preserve">очікуваної вартості предмета закупівлі</w:t>
      </w:r>
      <w:r>
        <w:rPr>
          <w:rFonts w:ascii="Times New Roman" w:hAnsi="Times New Roman" w:eastAsia="Times New Roman" w:cs="Times New Roman"/>
          <w:sz w:val="24"/>
          <w:szCs w:val="24"/>
          <w:lang w:eastAsia="ru-RU"/>
        </w:rPr>
        <w:t xml:space="preserve">.</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SimSun">
    <w:panose1 w:val="02020603020101020101"/>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6"/>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1080" w:hanging="360"/>
      </w:pPr>
      <w:rPr>
        <w:rFonts w:hint="default" w:ascii="Symbol" w:hAnsi="Symbol"/>
      </w:rPr>
    </w:lvl>
    <w:lvl w:ilvl="1">
      <w:start w:val="1"/>
      <w:numFmt w:val="bullet"/>
      <w:isLgl w:val="false"/>
      <w:suff w:val="tab"/>
      <w:lvlText w:val="o"/>
      <w:lvlJc w:val="left"/>
      <w:pPr>
        <w:ind w:left="1800" w:hanging="360"/>
      </w:pPr>
      <w:rPr>
        <w:rFonts w:hint="default" w:ascii="Courier New" w:hAnsi="Courier New" w:cs="Courier New"/>
      </w:rPr>
    </w:lvl>
    <w:lvl w:ilvl="2">
      <w:start w:val="1"/>
      <w:numFmt w:val="bullet"/>
      <w:isLgl w:val="false"/>
      <w:suff w:val="tab"/>
      <w:lvlText w:val=""/>
      <w:lvlJc w:val="left"/>
      <w:pPr>
        <w:ind w:left="2520" w:hanging="360"/>
      </w:pPr>
      <w:rPr>
        <w:rFonts w:hint="default" w:ascii="Wingdings" w:hAnsi="Wingdings"/>
      </w:rPr>
    </w:lvl>
    <w:lvl w:ilvl="3">
      <w:start w:val="1"/>
      <w:numFmt w:val="bullet"/>
      <w:isLgl w:val="false"/>
      <w:suff w:val="tab"/>
      <w:lvlText w:val=""/>
      <w:lvlJc w:val="left"/>
      <w:pPr>
        <w:ind w:left="3240" w:hanging="360"/>
      </w:pPr>
      <w:rPr>
        <w:rFonts w:hint="default" w:ascii="Symbol" w:hAnsi="Symbol"/>
      </w:rPr>
    </w:lvl>
    <w:lvl w:ilvl="4">
      <w:start w:val="1"/>
      <w:numFmt w:val="bullet"/>
      <w:isLgl w:val="false"/>
      <w:suff w:val="tab"/>
      <w:lvlText w:val="o"/>
      <w:lvlJc w:val="left"/>
      <w:pPr>
        <w:ind w:left="3960" w:hanging="360"/>
      </w:pPr>
      <w:rPr>
        <w:rFonts w:hint="default" w:ascii="Courier New" w:hAnsi="Courier New" w:cs="Courier New"/>
      </w:rPr>
    </w:lvl>
    <w:lvl w:ilvl="5">
      <w:start w:val="1"/>
      <w:numFmt w:val="bullet"/>
      <w:isLgl w:val="false"/>
      <w:suff w:val="tab"/>
      <w:lvlText w:val=""/>
      <w:lvlJc w:val="left"/>
      <w:pPr>
        <w:ind w:left="4680" w:hanging="360"/>
      </w:pPr>
      <w:rPr>
        <w:rFonts w:hint="default" w:ascii="Wingdings" w:hAnsi="Wingdings"/>
      </w:rPr>
    </w:lvl>
    <w:lvl w:ilvl="6">
      <w:start w:val="1"/>
      <w:numFmt w:val="bullet"/>
      <w:isLgl w:val="false"/>
      <w:suff w:val="tab"/>
      <w:lvlText w:val=""/>
      <w:lvlJc w:val="left"/>
      <w:pPr>
        <w:ind w:left="5400" w:hanging="360"/>
      </w:pPr>
      <w:rPr>
        <w:rFonts w:hint="default" w:ascii="Symbol" w:hAnsi="Symbol"/>
      </w:rPr>
    </w:lvl>
    <w:lvl w:ilvl="7">
      <w:start w:val="1"/>
      <w:numFmt w:val="bullet"/>
      <w:isLgl w:val="false"/>
      <w:suff w:val="tab"/>
      <w:lvlText w:val="o"/>
      <w:lvlJc w:val="left"/>
      <w:pPr>
        <w:ind w:left="6120" w:hanging="360"/>
      </w:pPr>
      <w:rPr>
        <w:rFonts w:hint="default" w:ascii="Courier New" w:hAnsi="Courier New" w:cs="Courier New"/>
      </w:rPr>
    </w:lvl>
    <w:lvl w:ilvl="8">
      <w:start w:val="1"/>
      <w:numFmt w:val="bullet"/>
      <w:isLgl w:val="false"/>
      <w:suff w:val="tab"/>
      <w:lvlText w:val=""/>
      <w:lvlJc w:val="left"/>
      <w:pPr>
        <w:ind w:left="6840"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5">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6">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8">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9">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3">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5"/>
  </w:num>
  <w:num w:numId="2">
    <w:abstractNumId w:val="11"/>
  </w:num>
  <w:num w:numId="3">
    <w:abstractNumId w:val="6"/>
  </w:num>
  <w:num w:numId="4">
    <w:abstractNumId w:val="13"/>
  </w:num>
  <w:num w:numId="5">
    <w:abstractNumId w:val="5"/>
  </w:num>
  <w:num w:numId="6">
    <w:abstractNumId w:val="16"/>
  </w:num>
  <w:num w:numId="7">
    <w:abstractNumId w:val="8"/>
  </w:num>
  <w:num w:numId="8">
    <w:abstractNumId w:val="18"/>
  </w:num>
  <w:num w:numId="9">
    <w:abstractNumId w:val="2"/>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7"/>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7"/>
  </w:num>
  <w:num w:numId="17">
    <w:abstractNumId w:val="1"/>
  </w:num>
  <w:num w:numId="18">
    <w:abstractNumId w:val="19"/>
  </w:num>
  <w:num w:numId="19">
    <w:abstractNumId w:val="14"/>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685"/>
    <w:next w:val="68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687"/>
    <w:link w:val="12"/>
    <w:uiPriority w:val="9"/>
    <w:rPr>
      <w:rFonts w:ascii="Arial" w:hAnsi="Arial" w:eastAsia="Arial" w:cs="Arial"/>
      <w:sz w:val="40"/>
      <w:szCs w:val="40"/>
    </w:rPr>
  </w:style>
  <w:style w:type="character" w:styleId="15">
    <w:name w:val="Heading 2 Char"/>
    <w:basedOn w:val="687"/>
    <w:link w:val="686"/>
    <w:uiPriority w:val="9"/>
    <w:rPr>
      <w:rFonts w:ascii="Arial" w:hAnsi="Arial" w:eastAsia="Arial" w:cs="Arial"/>
      <w:sz w:val="34"/>
    </w:rPr>
  </w:style>
  <w:style w:type="paragraph" w:styleId="16">
    <w:name w:val="Heading 3"/>
    <w:basedOn w:val="685"/>
    <w:next w:val="685"/>
    <w:link w:val="17"/>
    <w:uiPriority w:val="9"/>
    <w:unhideWhenUsed/>
    <w:qFormat/>
    <w:pPr>
      <w:keepLines/>
      <w:keepNext/>
      <w:spacing w:before="320" w:after="200"/>
      <w:outlineLvl w:val="2"/>
    </w:pPr>
    <w:rPr>
      <w:rFonts w:ascii="Arial" w:hAnsi="Arial" w:eastAsia="Arial" w:cs="Arial"/>
      <w:sz w:val="30"/>
      <w:szCs w:val="30"/>
    </w:rPr>
  </w:style>
  <w:style w:type="character" w:styleId="17">
    <w:name w:val="Heading 3 Char"/>
    <w:basedOn w:val="687"/>
    <w:link w:val="16"/>
    <w:uiPriority w:val="9"/>
    <w:rPr>
      <w:rFonts w:ascii="Arial" w:hAnsi="Arial" w:eastAsia="Arial" w:cs="Arial"/>
      <w:sz w:val="30"/>
      <w:szCs w:val="30"/>
    </w:rPr>
  </w:style>
  <w:style w:type="paragraph" w:styleId="18">
    <w:name w:val="Heading 4"/>
    <w:basedOn w:val="685"/>
    <w:next w:val="685"/>
    <w:link w:val="19"/>
    <w:uiPriority w:val="9"/>
    <w:unhideWhenUsed/>
    <w:qFormat/>
    <w:pPr>
      <w:keepLines/>
      <w:keepNext/>
      <w:spacing w:before="320" w:after="200"/>
      <w:outlineLvl w:val="3"/>
    </w:pPr>
    <w:rPr>
      <w:rFonts w:ascii="Arial" w:hAnsi="Arial" w:eastAsia="Arial" w:cs="Arial"/>
      <w:b/>
      <w:bCs/>
      <w:sz w:val="26"/>
      <w:szCs w:val="26"/>
    </w:rPr>
  </w:style>
  <w:style w:type="character" w:styleId="19">
    <w:name w:val="Heading 4 Char"/>
    <w:basedOn w:val="687"/>
    <w:link w:val="18"/>
    <w:uiPriority w:val="9"/>
    <w:rPr>
      <w:rFonts w:ascii="Arial" w:hAnsi="Arial" w:eastAsia="Arial" w:cs="Arial"/>
      <w:b/>
      <w:bCs/>
      <w:sz w:val="26"/>
      <w:szCs w:val="26"/>
    </w:rPr>
  </w:style>
  <w:style w:type="paragraph" w:styleId="20">
    <w:name w:val="Heading 5"/>
    <w:basedOn w:val="685"/>
    <w:next w:val="68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687"/>
    <w:link w:val="20"/>
    <w:uiPriority w:val="9"/>
    <w:rPr>
      <w:rFonts w:ascii="Arial" w:hAnsi="Arial" w:eastAsia="Arial" w:cs="Arial"/>
      <w:b/>
      <w:bCs/>
      <w:sz w:val="24"/>
      <w:szCs w:val="24"/>
    </w:rPr>
  </w:style>
  <w:style w:type="paragraph" w:styleId="22">
    <w:name w:val="Heading 6"/>
    <w:basedOn w:val="685"/>
    <w:next w:val="68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687"/>
    <w:link w:val="22"/>
    <w:uiPriority w:val="9"/>
    <w:rPr>
      <w:rFonts w:ascii="Arial" w:hAnsi="Arial" w:eastAsia="Arial" w:cs="Arial"/>
      <w:b/>
      <w:bCs/>
      <w:sz w:val="22"/>
      <w:szCs w:val="22"/>
    </w:rPr>
  </w:style>
  <w:style w:type="paragraph" w:styleId="24">
    <w:name w:val="Heading 7"/>
    <w:basedOn w:val="685"/>
    <w:next w:val="68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687"/>
    <w:link w:val="24"/>
    <w:uiPriority w:val="9"/>
    <w:rPr>
      <w:rFonts w:ascii="Arial" w:hAnsi="Arial" w:eastAsia="Arial" w:cs="Arial"/>
      <w:b/>
      <w:bCs/>
      <w:i/>
      <w:iCs/>
      <w:sz w:val="22"/>
      <w:szCs w:val="22"/>
    </w:rPr>
  </w:style>
  <w:style w:type="paragraph" w:styleId="26">
    <w:name w:val="Heading 8"/>
    <w:basedOn w:val="685"/>
    <w:next w:val="68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687"/>
    <w:link w:val="26"/>
    <w:uiPriority w:val="9"/>
    <w:rPr>
      <w:rFonts w:ascii="Arial" w:hAnsi="Arial" w:eastAsia="Arial" w:cs="Arial"/>
      <w:i/>
      <w:iCs/>
      <w:sz w:val="22"/>
      <w:szCs w:val="22"/>
    </w:rPr>
  </w:style>
  <w:style w:type="paragraph" w:styleId="28">
    <w:name w:val="Heading 9"/>
    <w:basedOn w:val="685"/>
    <w:next w:val="68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687"/>
    <w:link w:val="28"/>
    <w:uiPriority w:val="9"/>
    <w:rPr>
      <w:rFonts w:ascii="Arial" w:hAnsi="Arial" w:eastAsia="Arial" w:cs="Arial"/>
      <w:i/>
      <w:iCs/>
      <w:sz w:val="21"/>
      <w:szCs w:val="21"/>
    </w:rPr>
  </w:style>
  <w:style w:type="paragraph" w:styleId="33">
    <w:name w:val="Title"/>
    <w:basedOn w:val="685"/>
    <w:next w:val="685"/>
    <w:link w:val="34"/>
    <w:uiPriority w:val="10"/>
    <w:qFormat/>
    <w:pPr>
      <w:contextualSpacing/>
      <w:spacing w:before="300" w:after="200"/>
    </w:pPr>
    <w:rPr>
      <w:sz w:val="48"/>
      <w:szCs w:val="48"/>
    </w:rPr>
  </w:style>
  <w:style w:type="character" w:styleId="34">
    <w:name w:val="Title Char"/>
    <w:basedOn w:val="687"/>
    <w:link w:val="33"/>
    <w:uiPriority w:val="10"/>
    <w:rPr>
      <w:sz w:val="48"/>
      <w:szCs w:val="48"/>
    </w:rPr>
  </w:style>
  <w:style w:type="paragraph" w:styleId="35">
    <w:name w:val="Subtitle"/>
    <w:basedOn w:val="685"/>
    <w:next w:val="685"/>
    <w:link w:val="36"/>
    <w:uiPriority w:val="11"/>
    <w:qFormat/>
    <w:pPr>
      <w:spacing w:before="200" w:after="200"/>
    </w:pPr>
    <w:rPr>
      <w:sz w:val="24"/>
      <w:szCs w:val="24"/>
    </w:rPr>
  </w:style>
  <w:style w:type="character" w:styleId="36">
    <w:name w:val="Subtitle Char"/>
    <w:basedOn w:val="687"/>
    <w:link w:val="35"/>
    <w:uiPriority w:val="11"/>
    <w:rPr>
      <w:sz w:val="24"/>
      <w:szCs w:val="24"/>
    </w:rPr>
  </w:style>
  <w:style w:type="paragraph" w:styleId="37">
    <w:name w:val="Quote"/>
    <w:basedOn w:val="685"/>
    <w:next w:val="685"/>
    <w:link w:val="38"/>
    <w:uiPriority w:val="29"/>
    <w:qFormat/>
    <w:pPr>
      <w:ind w:left="720" w:right="720"/>
    </w:pPr>
    <w:rPr>
      <w:i/>
    </w:rPr>
  </w:style>
  <w:style w:type="character" w:styleId="38">
    <w:name w:val="Quote Char"/>
    <w:link w:val="37"/>
    <w:uiPriority w:val="29"/>
    <w:rPr>
      <w:i/>
    </w:rPr>
  </w:style>
  <w:style w:type="paragraph" w:styleId="39">
    <w:name w:val="Intense Quote"/>
    <w:basedOn w:val="685"/>
    <w:next w:val="68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685"/>
    <w:link w:val="42"/>
    <w:uiPriority w:val="99"/>
    <w:unhideWhenUsed/>
    <w:pPr>
      <w:spacing w:after="0" w:line="240" w:lineRule="auto"/>
      <w:tabs>
        <w:tab w:val="center" w:pos="7143" w:leader="none"/>
        <w:tab w:val="right" w:pos="14287" w:leader="none"/>
      </w:tabs>
    </w:pPr>
  </w:style>
  <w:style w:type="character" w:styleId="42">
    <w:name w:val="Header Char"/>
    <w:basedOn w:val="687"/>
    <w:link w:val="41"/>
    <w:uiPriority w:val="99"/>
  </w:style>
  <w:style w:type="character" w:styleId="44">
    <w:name w:val="Footer Char"/>
    <w:basedOn w:val="687"/>
    <w:link w:val="696"/>
    <w:uiPriority w:val="99"/>
  </w:style>
  <w:style w:type="paragraph" w:styleId="45">
    <w:name w:val="Caption"/>
    <w:basedOn w:val="685"/>
    <w:next w:val="685"/>
    <w:uiPriority w:val="35"/>
    <w:semiHidden/>
    <w:unhideWhenUsed/>
    <w:qFormat/>
    <w:pPr>
      <w:spacing w:line="276" w:lineRule="auto"/>
    </w:pPr>
    <w:rPr>
      <w:b/>
      <w:bCs/>
      <w:color w:val="4f81bd" w:themeColor="accent1"/>
      <w:sz w:val="18"/>
      <w:szCs w:val="18"/>
    </w:rPr>
  </w:style>
  <w:style w:type="character" w:styleId="46">
    <w:name w:val="Caption Char"/>
    <w:basedOn w:val="45"/>
    <w:link w:val="696"/>
    <w:uiPriority w:val="99"/>
  </w:style>
  <w:style w:type="table" w:styleId="48">
    <w:name w:val="Table Grid Light"/>
    <w:basedOn w:val="6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688"/>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688"/>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688"/>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688"/>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6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6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6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6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6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6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6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6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6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6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6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6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688"/>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688"/>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688"/>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688"/>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688"/>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688"/>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688"/>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688"/>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688"/>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688"/>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688"/>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688"/>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688"/>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688"/>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688"/>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688"/>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688"/>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6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688"/>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6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688"/>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688"/>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688"/>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688"/>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688"/>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688"/>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688"/>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688"/>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688"/>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688"/>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688"/>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688"/>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688"/>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688"/>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688"/>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688"/>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688"/>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688"/>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688"/>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688"/>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688"/>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688"/>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688"/>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688"/>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688"/>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688"/>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688"/>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688"/>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688"/>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688"/>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688"/>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688"/>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688"/>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688"/>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688"/>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688"/>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688"/>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688"/>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688"/>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688"/>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688"/>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688"/>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688"/>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688"/>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688"/>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688"/>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688"/>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688"/>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688"/>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688"/>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688"/>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688"/>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688"/>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688"/>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688"/>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688"/>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688"/>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688"/>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688"/>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688"/>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688"/>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688"/>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688"/>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688"/>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688"/>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688"/>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688"/>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688"/>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688"/>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688"/>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688"/>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688"/>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68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687"/>
    <w:uiPriority w:val="99"/>
    <w:unhideWhenUsed/>
    <w:rPr>
      <w:vertAlign w:val="superscript"/>
    </w:rPr>
  </w:style>
  <w:style w:type="paragraph" w:styleId="177">
    <w:name w:val="endnote text"/>
    <w:basedOn w:val="68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687"/>
    <w:uiPriority w:val="99"/>
    <w:semiHidden/>
    <w:unhideWhenUsed/>
    <w:rPr>
      <w:vertAlign w:val="superscript"/>
    </w:rPr>
  </w:style>
  <w:style w:type="paragraph" w:styleId="180">
    <w:name w:val="toc 1"/>
    <w:basedOn w:val="685"/>
    <w:next w:val="685"/>
    <w:uiPriority w:val="39"/>
    <w:unhideWhenUsed/>
    <w:pPr>
      <w:ind w:left="0" w:right="0" w:firstLine="0"/>
      <w:spacing w:after="57"/>
    </w:pPr>
  </w:style>
  <w:style w:type="paragraph" w:styleId="181">
    <w:name w:val="toc 2"/>
    <w:basedOn w:val="685"/>
    <w:next w:val="685"/>
    <w:uiPriority w:val="39"/>
    <w:unhideWhenUsed/>
    <w:pPr>
      <w:ind w:left="283" w:right="0" w:firstLine="0"/>
      <w:spacing w:after="57"/>
    </w:pPr>
  </w:style>
  <w:style w:type="paragraph" w:styleId="182">
    <w:name w:val="toc 3"/>
    <w:basedOn w:val="685"/>
    <w:next w:val="685"/>
    <w:uiPriority w:val="39"/>
    <w:unhideWhenUsed/>
    <w:pPr>
      <w:ind w:left="567" w:right="0" w:firstLine="0"/>
      <w:spacing w:after="57"/>
    </w:pPr>
  </w:style>
  <w:style w:type="paragraph" w:styleId="183">
    <w:name w:val="toc 4"/>
    <w:basedOn w:val="685"/>
    <w:next w:val="685"/>
    <w:uiPriority w:val="39"/>
    <w:unhideWhenUsed/>
    <w:pPr>
      <w:ind w:left="850" w:right="0" w:firstLine="0"/>
      <w:spacing w:after="57"/>
    </w:pPr>
  </w:style>
  <w:style w:type="paragraph" w:styleId="184">
    <w:name w:val="toc 5"/>
    <w:basedOn w:val="685"/>
    <w:next w:val="685"/>
    <w:uiPriority w:val="39"/>
    <w:unhideWhenUsed/>
    <w:pPr>
      <w:ind w:left="1134" w:right="0" w:firstLine="0"/>
      <w:spacing w:after="57"/>
    </w:pPr>
  </w:style>
  <w:style w:type="paragraph" w:styleId="185">
    <w:name w:val="toc 6"/>
    <w:basedOn w:val="685"/>
    <w:next w:val="685"/>
    <w:uiPriority w:val="39"/>
    <w:unhideWhenUsed/>
    <w:pPr>
      <w:ind w:left="1417" w:right="0" w:firstLine="0"/>
      <w:spacing w:after="57"/>
    </w:pPr>
  </w:style>
  <w:style w:type="paragraph" w:styleId="186">
    <w:name w:val="toc 7"/>
    <w:basedOn w:val="685"/>
    <w:next w:val="685"/>
    <w:uiPriority w:val="39"/>
    <w:unhideWhenUsed/>
    <w:pPr>
      <w:ind w:left="1701" w:right="0" w:firstLine="0"/>
      <w:spacing w:after="57"/>
    </w:pPr>
  </w:style>
  <w:style w:type="paragraph" w:styleId="187">
    <w:name w:val="toc 8"/>
    <w:basedOn w:val="685"/>
    <w:next w:val="685"/>
    <w:uiPriority w:val="39"/>
    <w:unhideWhenUsed/>
    <w:pPr>
      <w:ind w:left="1984" w:right="0" w:firstLine="0"/>
      <w:spacing w:after="57"/>
    </w:pPr>
  </w:style>
  <w:style w:type="paragraph" w:styleId="188">
    <w:name w:val="toc 9"/>
    <w:basedOn w:val="685"/>
    <w:next w:val="685"/>
    <w:uiPriority w:val="39"/>
    <w:unhideWhenUsed/>
    <w:pPr>
      <w:ind w:left="2268" w:right="0" w:firstLine="0"/>
      <w:spacing w:after="57"/>
    </w:pPr>
  </w:style>
  <w:style w:type="paragraph" w:styleId="189">
    <w:name w:val="TOC Heading"/>
    <w:uiPriority w:val="39"/>
    <w:unhideWhenUsed/>
  </w:style>
  <w:style w:type="paragraph" w:styleId="190">
    <w:name w:val="table of figures"/>
    <w:basedOn w:val="685"/>
    <w:next w:val="685"/>
    <w:uiPriority w:val="99"/>
    <w:unhideWhenUsed/>
    <w:pPr>
      <w:spacing w:after="0" w:afterAutospacing="0"/>
    </w:pPr>
  </w:style>
  <w:style w:type="paragraph" w:styleId="685" w:default="1">
    <w:name w:val="Normal"/>
    <w:qFormat/>
    <w:rPr>
      <w:lang w:val="uk-UA"/>
    </w:rPr>
  </w:style>
  <w:style w:type="paragraph" w:styleId="686">
    <w:name w:val="Heading 2"/>
    <w:basedOn w:val="685"/>
    <w:link w:val="705"/>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7" w:default="1">
    <w:name w:val="Default Paragraph Font"/>
    <w:uiPriority w:val="1"/>
    <w:semiHidden/>
    <w:unhideWhenUsed/>
  </w:style>
  <w:style w:type="table" w:styleId="688" w:default="1">
    <w:name w:val="Normal Table"/>
    <w:uiPriority w:val="99"/>
    <w:semiHidden/>
    <w:unhideWhenUsed/>
    <w:tblPr>
      <w:tblInd w:w="0" w:type="dxa"/>
      <w:tblCellMar>
        <w:left w:w="108" w:type="dxa"/>
        <w:top w:w="0" w:type="dxa"/>
        <w:right w:w="108" w:type="dxa"/>
        <w:bottom w:w="0" w:type="dxa"/>
      </w:tblCellMar>
    </w:tblPr>
  </w:style>
  <w:style w:type="numbering" w:styleId="689" w:default="1">
    <w:name w:val="No List"/>
    <w:uiPriority w:val="99"/>
    <w:semiHidden/>
    <w:unhideWhenUsed/>
  </w:style>
  <w:style w:type="paragraph" w:styleId="690">
    <w:name w:val="List Paragraph"/>
    <w:basedOn w:val="685"/>
    <w:link w:val="691"/>
    <w:uiPriority w:val="34"/>
    <w:qFormat/>
    <w:pPr>
      <w:contextualSpacing/>
      <w:ind w:left="720"/>
      <w:spacing w:after="200" w:line="276" w:lineRule="auto"/>
    </w:pPr>
    <w:rPr>
      <w:rFonts w:ascii="Calibri" w:hAnsi="Calibri" w:eastAsia="Calibri" w:cs="Calibri"/>
      <w:lang w:val="ru-RU" w:eastAsia="zh-CN"/>
    </w:rPr>
  </w:style>
  <w:style w:type="character" w:styleId="691" w:customStyle="1">
    <w:name w:val="Абзац списку Знак"/>
    <w:link w:val="690"/>
    <w:uiPriority w:val="34"/>
    <w:rPr>
      <w:rFonts w:ascii="Calibri" w:hAnsi="Calibri" w:eastAsia="Calibri" w:cs="Calibri"/>
      <w:lang w:eastAsia="zh-CN"/>
    </w:rPr>
  </w:style>
  <w:style w:type="table" w:styleId="692">
    <w:name w:val="Table Grid"/>
    <w:basedOn w:val="688"/>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3" w:customStyle="1">
    <w:name w:val="Сетка таблицы2"/>
    <w:basedOn w:val="688"/>
    <w:next w:val="692"/>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4">
    <w:name w:val="Normal (Web)"/>
    <w:basedOn w:val="685"/>
    <w:link w:val="701"/>
    <w:unhideWhenUsed/>
    <w:qFormat/>
    <w:rPr>
      <w:rFonts w:ascii="Times New Roman" w:hAnsi="Times New Roman" w:cs="Times New Roman"/>
      <w:sz w:val="24"/>
      <w:szCs w:val="24"/>
    </w:rPr>
  </w:style>
  <w:style w:type="table" w:styleId="695" w:customStyle="1">
    <w:name w:val="Сетка таблицы1"/>
    <w:basedOn w:val="688"/>
    <w:next w:val="692"/>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6">
    <w:name w:val="Footer"/>
    <w:basedOn w:val="685"/>
    <w:link w:val="697"/>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7" w:customStyle="1">
    <w:name w:val="Нижній колонтитул Знак"/>
    <w:basedOn w:val="687"/>
    <w:link w:val="696"/>
    <w:uiPriority w:val="99"/>
    <w:rPr>
      <w:rFonts w:ascii="Calibri" w:hAnsi="Calibri" w:eastAsia="Calibri" w:cs="Calibri"/>
      <w:lang w:eastAsia="zh-CN"/>
    </w:rPr>
  </w:style>
  <w:style w:type="paragraph" w:styleId="698"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9">
    <w:name w:val="Hyperlink"/>
    <w:basedOn w:val="687"/>
    <w:uiPriority w:val="99"/>
    <w:unhideWhenUsed/>
    <w:rPr>
      <w:color w:val="0563c1" w:themeColor="hyperlink"/>
      <w:u w:val="single"/>
    </w:rPr>
  </w:style>
  <w:style w:type="character" w:styleId="700" w:customStyle="1">
    <w:name w:val="xfm_93972720"/>
    <w:basedOn w:val="687"/>
  </w:style>
  <w:style w:type="character" w:styleId="701" w:customStyle="1">
    <w:name w:val="Звичайний (веб) Знак"/>
    <w:link w:val="694"/>
    <w:qFormat/>
    <w:rPr>
      <w:rFonts w:ascii="Times New Roman" w:hAnsi="Times New Roman" w:cs="Times New Roman"/>
      <w:sz w:val="24"/>
      <w:szCs w:val="24"/>
      <w:lang w:val="uk-UA"/>
    </w:rPr>
  </w:style>
  <w:style w:type="paragraph" w:styleId="702">
    <w:name w:val="Body Text 2"/>
    <w:basedOn w:val="685"/>
    <w:link w:val="703"/>
    <w:pPr>
      <w:spacing w:after="0" w:line="240" w:lineRule="auto"/>
    </w:pPr>
    <w:rPr>
      <w:rFonts w:ascii="Times New Roman" w:hAnsi="Times New Roman" w:eastAsia="Times New Roman" w:cs="Times New Roman"/>
      <w:sz w:val="28"/>
      <w:szCs w:val="20"/>
      <w:lang w:val="ru-RU" w:eastAsia="ru-RU"/>
    </w:rPr>
  </w:style>
  <w:style w:type="character" w:styleId="703" w:customStyle="1">
    <w:name w:val="Основний текст 2 Знак"/>
    <w:basedOn w:val="687"/>
    <w:link w:val="702"/>
    <w:rPr>
      <w:rFonts w:ascii="Times New Roman" w:hAnsi="Times New Roman" w:eastAsia="Times New Roman" w:cs="Times New Roman"/>
      <w:sz w:val="28"/>
      <w:szCs w:val="20"/>
      <w:lang w:eastAsia="ru-RU"/>
    </w:rPr>
  </w:style>
  <w:style w:type="paragraph" w:styleId="704"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5" w:customStyle="1">
    <w:name w:val="Заголовок 2 Знак"/>
    <w:basedOn w:val="687"/>
    <w:link w:val="686"/>
    <w:uiPriority w:val="9"/>
    <w:rPr>
      <w:rFonts w:ascii="Times New Roman" w:hAnsi="Times New Roman" w:eastAsia="Times New Roman" w:cs="Times New Roman"/>
      <w:b/>
      <w:bCs/>
      <w:sz w:val="36"/>
      <w:szCs w:val="36"/>
      <w:lang w:val="uk-UA" w:eastAsia="uk-UA"/>
    </w:rPr>
  </w:style>
  <w:style w:type="paragraph" w:styleId="706">
    <w:name w:val="No Spacing"/>
    <w:link w:val="707"/>
    <w:uiPriority w:val="1"/>
    <w:qFormat/>
    <w:pPr>
      <w:spacing w:after="0" w:line="240" w:lineRule="auto"/>
    </w:pPr>
    <w:rPr>
      <w:rFonts w:ascii="Calibri" w:hAnsi="Calibri" w:eastAsia="Calibri" w:cs="Times New Roman"/>
      <w:lang w:val="uk-UA"/>
    </w:rPr>
  </w:style>
  <w:style w:type="character" w:styleId="707" w:customStyle="1">
    <w:name w:val="Без інтервалів Знак"/>
    <w:basedOn w:val="687"/>
    <w:link w:val="706"/>
    <w:uiPriority w:val="1"/>
    <w:rPr>
      <w:rFonts w:ascii="Calibri" w:hAnsi="Calibri" w:eastAsia="Calibri" w:cs="Times New Roman"/>
      <w:lang w:val="uk-UA"/>
    </w:rPr>
  </w:style>
  <w:style w:type="character" w:styleId="708" w:customStyle="1">
    <w:name w:val="Другое_"/>
    <w:basedOn w:val="687"/>
    <w:link w:val="709"/>
    <w:rPr>
      <w:rFonts w:ascii="Calibri" w:hAnsi="Calibri" w:eastAsia="Calibri" w:cs="Calibri"/>
      <w:sz w:val="20"/>
      <w:szCs w:val="20"/>
    </w:rPr>
  </w:style>
  <w:style w:type="paragraph" w:styleId="709" w:customStyle="1">
    <w:name w:val="Другое"/>
    <w:basedOn w:val="685"/>
    <w:link w:val="708"/>
    <w:pPr>
      <w:spacing w:after="0" w:line="240" w:lineRule="auto"/>
      <w:widowControl w:val="off"/>
    </w:pPr>
    <w:rPr>
      <w:rFonts w:ascii="Calibri" w:hAnsi="Calibri" w:eastAsia="Calibri" w:cs="Calibri"/>
      <w:sz w:val="20"/>
      <w:szCs w:val="20"/>
      <w:lang w:val="ru-RU"/>
    </w:rPr>
  </w:style>
  <w:style w:type="paragraph" w:styleId="710"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11" w:customStyle="1">
    <w:name w:val="Основной текст (2)_"/>
    <w:basedOn w:val="687"/>
    <w:link w:val="712"/>
    <w:rPr>
      <w:rFonts w:eastAsia="Times New Roman" w:cs="Times New Roman"/>
      <w:shd w:val="clear" w:color="auto" w:fill="ffffff"/>
    </w:rPr>
  </w:style>
  <w:style w:type="paragraph" w:styleId="712" w:customStyle="1">
    <w:name w:val="Основной текст (2)"/>
    <w:basedOn w:val="685"/>
    <w:link w:val="711"/>
    <w:pPr>
      <w:ind w:hanging="700"/>
      <w:jc w:val="both"/>
      <w:spacing w:before="240" w:after="480" w:line="0" w:lineRule="atLeast"/>
      <w:shd w:val="clear" w:color="auto" w:fill="ffffff"/>
      <w:widowControl w:val="off"/>
    </w:pPr>
    <w:rPr>
      <w:rFonts w:eastAsia="Times New Roman" w:cs="Times New Roman"/>
      <w:lang w:val="ru-RU"/>
    </w:rPr>
  </w:style>
  <w:style w:type="character" w:styleId="713" w:customStyle="1">
    <w:name w:val="Текст у виносці Знак"/>
    <w:basedOn w:val="687"/>
    <w:link w:val="714"/>
    <w:uiPriority w:val="99"/>
    <w:semiHidden/>
    <w:rPr>
      <w:rFonts w:ascii="Segoe UI" w:hAnsi="Segoe UI" w:eastAsia="Times New Roman" w:cs="Segoe UI"/>
      <w:sz w:val="18"/>
      <w:szCs w:val="18"/>
      <w:lang w:eastAsia="ru-RU"/>
    </w:rPr>
  </w:style>
  <w:style w:type="paragraph" w:styleId="714">
    <w:name w:val="Balloon Text"/>
    <w:basedOn w:val="685"/>
    <w:link w:val="713"/>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15" w:customStyle="1">
    <w:name w:val="Текст у виносці Знак1"/>
    <w:basedOn w:val="687"/>
    <w:uiPriority w:val="99"/>
    <w:semiHidden/>
    <w:rPr>
      <w:rFonts w:ascii="Segoe UI" w:hAnsi="Segoe UI" w:cs="Segoe UI"/>
      <w:sz w:val="18"/>
      <w:szCs w:val="18"/>
      <w:lang w:val="uk-UA"/>
    </w:rPr>
  </w:style>
  <w:style w:type="character" w:styleId="716" w:customStyle="1">
    <w:name w:val="T23"/>
    <w:rPr>
      <w:rFonts w:hint="default" w:ascii="Times New Roman" w:hAnsi="Times New Roman" w:eastAsia="Times New Roman1" w:cs="Times New Roman"/>
    </w:rPr>
  </w:style>
  <w:style w:type="paragraph" w:styleId="717" w:customStyle="1">
    <w:name w:val="ng-star-inserted"/>
    <w:basedOn w:val="685"/>
    <w:qFormat/>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18" w:customStyle="1">
    <w:name w:val="docdata"/>
    <w:basedOn w:val="687"/>
  </w:style>
  <w:style w:type="character" w:styleId="719" w:customStyle="1">
    <w:name w:val="ng-star-inserted1"/>
    <w:basedOn w:val="687"/>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134</cp:revision>
  <dcterms:created xsi:type="dcterms:W3CDTF">2022-11-01T12:47:00Z</dcterms:created>
  <dcterms:modified xsi:type="dcterms:W3CDTF">2023-07-27T07:28:26Z</dcterms:modified>
</cp:coreProperties>
</file>