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48275F3C"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AF4033" w:rsidRPr="00AF4033">
        <w:rPr>
          <w:b w:val="0"/>
          <w:bCs w:val="0"/>
          <w:color w:val="000000" w:themeColor="text1"/>
          <w:sz w:val="24"/>
          <w:szCs w:val="24"/>
        </w:rPr>
        <w:t>Закупівля килимкового покриття в комплекті код CPV за ЄЗС ДК 021:2015 39530000-6 Килимові покриття, килимки та килими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1B89FD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AF4033">
        <w:rPr>
          <w:rFonts w:ascii="Times New Roman" w:hAnsi="Times New Roman" w:cs="Times New Roman"/>
          <w:sz w:val="24"/>
          <w:szCs w:val="24"/>
        </w:rPr>
        <w:t>9</w:t>
      </w:r>
      <w:r w:rsidR="001944C8">
        <w:rPr>
          <w:rFonts w:ascii="Times New Roman" w:hAnsi="Times New Roman" w:cs="Times New Roman"/>
          <w:sz w:val="24"/>
          <w:szCs w:val="24"/>
        </w:rPr>
        <w:t>-</w:t>
      </w:r>
      <w:r w:rsidR="00AF4033">
        <w:rPr>
          <w:rFonts w:ascii="Times New Roman" w:hAnsi="Times New Roman" w:cs="Times New Roman"/>
          <w:sz w:val="24"/>
          <w:szCs w:val="24"/>
        </w:rPr>
        <w:t>25</w:t>
      </w:r>
      <w:r w:rsidR="00F60A0F" w:rsidRPr="00F90C90">
        <w:rPr>
          <w:rFonts w:ascii="Times New Roman" w:hAnsi="Times New Roman" w:cs="Times New Roman"/>
          <w:sz w:val="24"/>
          <w:szCs w:val="24"/>
        </w:rPr>
        <w:t>-</w:t>
      </w:r>
      <w:r w:rsidR="002F7B4B">
        <w:rPr>
          <w:rFonts w:ascii="Times New Roman" w:hAnsi="Times New Roman" w:cs="Times New Roman"/>
          <w:sz w:val="24"/>
          <w:szCs w:val="24"/>
        </w:rPr>
        <w:t>00</w:t>
      </w:r>
      <w:r w:rsidR="00AF4033">
        <w:rPr>
          <w:rFonts w:ascii="Times New Roman" w:hAnsi="Times New Roman" w:cs="Times New Roman"/>
          <w:sz w:val="24"/>
          <w:szCs w:val="24"/>
        </w:rPr>
        <w:t>5323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C8E816B" w14:textId="55102B9C" w:rsidR="00CD0EC0" w:rsidRPr="00AF4033" w:rsidRDefault="009D1AE9" w:rsidP="002F7B4B">
      <w:pPr>
        <w:spacing w:after="0" w:line="240" w:lineRule="auto"/>
        <w:jc w:val="both"/>
        <w:rPr>
          <w:rFonts w:ascii="Times New Roman" w:hAnsi="Times New Roman" w:cs="Times New Roman"/>
          <w:spacing w:val="1"/>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AF4033" w:rsidRPr="00AF4033">
        <w:rPr>
          <w:rFonts w:ascii="Times New Roman" w:hAnsi="Times New Roman" w:cs="Times New Roman"/>
          <w:color w:val="000000" w:themeColor="text1"/>
          <w:sz w:val="24"/>
          <w:szCs w:val="24"/>
        </w:rPr>
        <w:t>Закупівля килимкового покриття в комплекті код CPV за ЄЗС ДК 021:2015 39530000-6 Килимові покриття, килимки та килими</w:t>
      </w:r>
    </w:p>
    <w:p w14:paraId="7DBDEF0D" w14:textId="77777777" w:rsidR="00AF4033" w:rsidRPr="00AF4033" w:rsidRDefault="00AF4033" w:rsidP="002F7B4B">
      <w:pPr>
        <w:spacing w:after="0" w:line="240" w:lineRule="auto"/>
        <w:ind w:firstLine="357"/>
        <w:jc w:val="center"/>
        <w:rPr>
          <w:rFonts w:ascii="Times New Roman" w:hAnsi="Times New Roman" w:cs="Times New Roman"/>
          <w:color w:val="000000"/>
          <w:sz w:val="24"/>
          <w:szCs w:val="24"/>
        </w:rPr>
      </w:pPr>
    </w:p>
    <w:p w14:paraId="117D64ED" w14:textId="77777777" w:rsidR="00AF4033" w:rsidRPr="00AF4033" w:rsidRDefault="00AF4033" w:rsidP="00AF4033">
      <w:pPr>
        <w:spacing w:after="0" w:line="240" w:lineRule="auto"/>
        <w:jc w:val="center"/>
        <w:rPr>
          <w:rFonts w:ascii="Times New Roman" w:hAnsi="Times New Roman" w:cs="Times New Roman"/>
          <w:b/>
          <w:bCs/>
          <w:color w:val="000000" w:themeColor="text1"/>
          <w:sz w:val="24"/>
          <w:szCs w:val="24"/>
        </w:rPr>
      </w:pPr>
      <w:r w:rsidRPr="00AF4033">
        <w:rPr>
          <w:rFonts w:ascii="Times New Roman" w:hAnsi="Times New Roman" w:cs="Times New Roman"/>
          <w:b/>
          <w:bCs/>
          <w:color w:val="000000" w:themeColor="text1"/>
          <w:sz w:val="24"/>
          <w:szCs w:val="24"/>
        </w:rPr>
        <w:t>ТЕХНІЧНІ ВИМОГИ</w:t>
      </w:r>
    </w:p>
    <w:p w14:paraId="129588F4" w14:textId="77777777" w:rsidR="00AF4033" w:rsidRPr="00AF4033" w:rsidRDefault="00AF4033" w:rsidP="00AF4033">
      <w:pPr>
        <w:spacing w:after="0" w:line="240" w:lineRule="auto"/>
        <w:jc w:val="center"/>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 xml:space="preserve">до </w:t>
      </w:r>
      <w:proofErr w:type="spellStart"/>
      <w:r w:rsidRPr="00AF4033">
        <w:rPr>
          <w:rFonts w:ascii="Times New Roman" w:hAnsi="Times New Roman" w:cs="Times New Roman"/>
          <w:color w:val="000000" w:themeColor="text1"/>
          <w:sz w:val="24"/>
          <w:szCs w:val="24"/>
        </w:rPr>
        <w:t>закупівель</w:t>
      </w:r>
      <w:proofErr w:type="spellEnd"/>
      <w:r w:rsidRPr="00AF4033">
        <w:rPr>
          <w:rFonts w:ascii="Times New Roman" w:hAnsi="Times New Roman" w:cs="Times New Roman"/>
          <w:color w:val="000000" w:themeColor="text1"/>
          <w:sz w:val="24"/>
          <w:szCs w:val="24"/>
        </w:rPr>
        <w:t xml:space="preserve"> товарів</w:t>
      </w:r>
    </w:p>
    <w:p w14:paraId="0DB3BC9B" w14:textId="77777777" w:rsidR="00AF4033" w:rsidRPr="00AF4033" w:rsidRDefault="00AF4033" w:rsidP="00AF4033">
      <w:pPr>
        <w:spacing w:after="0" w:line="240" w:lineRule="auto"/>
        <w:jc w:val="center"/>
        <w:rPr>
          <w:rFonts w:ascii="Times New Roman" w:hAnsi="Times New Roman" w:cs="Times New Roman"/>
          <w:color w:val="000000" w:themeColor="text1"/>
          <w:sz w:val="24"/>
          <w:szCs w:val="24"/>
        </w:rPr>
      </w:pPr>
    </w:p>
    <w:tbl>
      <w:tblPr>
        <w:tblStyle w:val="a5"/>
        <w:tblW w:w="9634" w:type="dxa"/>
        <w:tblLook w:val="04A0" w:firstRow="1" w:lastRow="0" w:firstColumn="1" w:lastColumn="0" w:noHBand="0" w:noVBand="1"/>
      </w:tblPr>
      <w:tblGrid>
        <w:gridCol w:w="704"/>
        <w:gridCol w:w="4678"/>
        <w:gridCol w:w="1984"/>
        <w:gridCol w:w="2268"/>
      </w:tblGrid>
      <w:tr w:rsidR="00AF4033" w:rsidRPr="00AF4033" w14:paraId="515DEB33" w14:textId="77777777" w:rsidTr="00AF4033">
        <w:tc>
          <w:tcPr>
            <w:tcW w:w="704" w:type="dxa"/>
            <w:vAlign w:val="center"/>
          </w:tcPr>
          <w:p w14:paraId="4357301E" w14:textId="77777777" w:rsidR="00AF4033" w:rsidRPr="00AF4033" w:rsidRDefault="00AF4033" w:rsidP="00AF4033">
            <w:pPr>
              <w:pStyle w:val="a6"/>
              <w:jc w:val="center"/>
              <w:rPr>
                <w:b/>
                <w:bCs/>
                <w:color w:val="000000" w:themeColor="text1"/>
              </w:rPr>
            </w:pPr>
            <w:r w:rsidRPr="00AF4033">
              <w:rPr>
                <w:b/>
                <w:bCs/>
                <w:color w:val="000000" w:themeColor="text1"/>
              </w:rPr>
              <w:t>№ з/п</w:t>
            </w:r>
          </w:p>
        </w:tc>
        <w:tc>
          <w:tcPr>
            <w:tcW w:w="4678" w:type="dxa"/>
            <w:vAlign w:val="center"/>
          </w:tcPr>
          <w:p w14:paraId="02DDD661" w14:textId="77777777" w:rsidR="00AF4033" w:rsidRPr="00AF4033" w:rsidRDefault="00AF4033" w:rsidP="00AF4033">
            <w:pPr>
              <w:pStyle w:val="a6"/>
              <w:jc w:val="center"/>
              <w:rPr>
                <w:b/>
                <w:bCs/>
                <w:color w:val="000000" w:themeColor="text1"/>
              </w:rPr>
            </w:pPr>
            <w:r w:rsidRPr="00AF4033">
              <w:rPr>
                <w:b/>
                <w:bCs/>
                <w:color w:val="000000" w:themeColor="text1"/>
              </w:rPr>
              <w:t>Назва товару</w:t>
            </w:r>
          </w:p>
        </w:tc>
        <w:tc>
          <w:tcPr>
            <w:tcW w:w="1984" w:type="dxa"/>
            <w:vAlign w:val="center"/>
          </w:tcPr>
          <w:p w14:paraId="1375F4CC" w14:textId="77777777" w:rsidR="00AF4033" w:rsidRPr="00AF4033" w:rsidRDefault="00AF4033" w:rsidP="00AF4033">
            <w:pPr>
              <w:pStyle w:val="a6"/>
              <w:jc w:val="center"/>
              <w:rPr>
                <w:b/>
                <w:bCs/>
                <w:color w:val="000000" w:themeColor="text1"/>
              </w:rPr>
            </w:pPr>
            <w:r w:rsidRPr="00AF4033">
              <w:rPr>
                <w:b/>
                <w:bCs/>
                <w:color w:val="000000" w:themeColor="text1"/>
              </w:rPr>
              <w:t>Одиниця виміру</w:t>
            </w:r>
          </w:p>
        </w:tc>
        <w:tc>
          <w:tcPr>
            <w:tcW w:w="2268" w:type="dxa"/>
            <w:vAlign w:val="center"/>
          </w:tcPr>
          <w:p w14:paraId="2F3CFA5F" w14:textId="77777777" w:rsidR="00AF4033" w:rsidRPr="00AF4033" w:rsidRDefault="00AF4033" w:rsidP="00AF4033">
            <w:pPr>
              <w:pStyle w:val="a6"/>
              <w:jc w:val="center"/>
              <w:rPr>
                <w:b/>
                <w:bCs/>
                <w:color w:val="000000" w:themeColor="text1"/>
              </w:rPr>
            </w:pPr>
            <w:r w:rsidRPr="00AF4033">
              <w:rPr>
                <w:b/>
                <w:bCs/>
                <w:color w:val="000000" w:themeColor="text1"/>
              </w:rPr>
              <w:t>Кількість</w:t>
            </w:r>
          </w:p>
        </w:tc>
      </w:tr>
      <w:tr w:rsidR="00AF4033" w:rsidRPr="00AF4033" w14:paraId="2E4816C6" w14:textId="77777777" w:rsidTr="00AF4033">
        <w:tc>
          <w:tcPr>
            <w:tcW w:w="704" w:type="dxa"/>
            <w:vAlign w:val="center"/>
          </w:tcPr>
          <w:p w14:paraId="1B14D175" w14:textId="77777777" w:rsidR="00AF4033" w:rsidRPr="00AF4033" w:rsidRDefault="00AF4033" w:rsidP="00AF4033">
            <w:pPr>
              <w:pStyle w:val="a6"/>
              <w:jc w:val="center"/>
              <w:rPr>
                <w:b/>
                <w:bCs/>
                <w:color w:val="000000" w:themeColor="text1"/>
              </w:rPr>
            </w:pPr>
            <w:r w:rsidRPr="00AF4033">
              <w:rPr>
                <w:b/>
                <w:bCs/>
                <w:color w:val="000000" w:themeColor="text1"/>
              </w:rPr>
              <w:t>1</w:t>
            </w:r>
          </w:p>
        </w:tc>
        <w:tc>
          <w:tcPr>
            <w:tcW w:w="4678" w:type="dxa"/>
            <w:vAlign w:val="center"/>
          </w:tcPr>
          <w:p w14:paraId="08B42563" w14:textId="77777777" w:rsidR="00AF4033" w:rsidRPr="00AF4033" w:rsidRDefault="00AF4033" w:rsidP="00AF4033">
            <w:pPr>
              <w:pStyle w:val="a6"/>
              <w:rPr>
                <w:b/>
                <w:bCs/>
                <w:color w:val="000000" w:themeColor="text1"/>
              </w:rPr>
            </w:pPr>
            <w:r w:rsidRPr="00AF4033">
              <w:rPr>
                <w:b/>
                <w:bCs/>
                <w:color w:val="000000" w:themeColor="text1"/>
              </w:rPr>
              <w:t>Килимове покриття в комплекті</w:t>
            </w:r>
            <w:r w:rsidRPr="00AF4033">
              <w:rPr>
                <w:i/>
                <w:iCs/>
                <w:color w:val="000000" w:themeColor="text1"/>
              </w:rPr>
              <w:t>, у складі:</w:t>
            </w:r>
          </w:p>
        </w:tc>
        <w:tc>
          <w:tcPr>
            <w:tcW w:w="1984" w:type="dxa"/>
            <w:vAlign w:val="center"/>
          </w:tcPr>
          <w:p w14:paraId="020AFD11" w14:textId="77777777" w:rsidR="00AF4033" w:rsidRPr="00AF4033" w:rsidRDefault="00AF4033" w:rsidP="00AF4033">
            <w:pPr>
              <w:pStyle w:val="a6"/>
              <w:jc w:val="center"/>
              <w:rPr>
                <w:b/>
                <w:bCs/>
                <w:color w:val="000000" w:themeColor="text1"/>
              </w:rPr>
            </w:pPr>
            <w:r w:rsidRPr="00AF4033">
              <w:rPr>
                <w:b/>
                <w:bCs/>
                <w:color w:val="000000" w:themeColor="text1"/>
              </w:rPr>
              <w:t>комп.</w:t>
            </w:r>
          </w:p>
        </w:tc>
        <w:tc>
          <w:tcPr>
            <w:tcW w:w="2268" w:type="dxa"/>
            <w:vAlign w:val="center"/>
          </w:tcPr>
          <w:p w14:paraId="7A9B2E31" w14:textId="77777777" w:rsidR="00AF4033" w:rsidRPr="00AF4033" w:rsidRDefault="00AF4033" w:rsidP="00AF4033">
            <w:pPr>
              <w:pStyle w:val="a6"/>
              <w:jc w:val="center"/>
              <w:rPr>
                <w:b/>
                <w:bCs/>
                <w:color w:val="000000" w:themeColor="text1"/>
              </w:rPr>
            </w:pPr>
            <w:r w:rsidRPr="00AF4033">
              <w:rPr>
                <w:b/>
                <w:bCs/>
                <w:color w:val="000000" w:themeColor="text1"/>
              </w:rPr>
              <w:t>1</w:t>
            </w:r>
          </w:p>
        </w:tc>
      </w:tr>
      <w:tr w:rsidR="00AF4033" w:rsidRPr="00AF4033" w14:paraId="764759A2" w14:textId="77777777" w:rsidTr="00AF4033">
        <w:tc>
          <w:tcPr>
            <w:tcW w:w="704" w:type="dxa"/>
            <w:vAlign w:val="center"/>
          </w:tcPr>
          <w:p w14:paraId="1E9E75FC" w14:textId="77777777" w:rsidR="00AF4033" w:rsidRPr="00AF4033" w:rsidRDefault="00AF4033" w:rsidP="00AF4033">
            <w:pPr>
              <w:pStyle w:val="a6"/>
              <w:jc w:val="center"/>
              <w:rPr>
                <w:color w:val="000000" w:themeColor="text1"/>
              </w:rPr>
            </w:pPr>
            <w:r w:rsidRPr="00AF4033">
              <w:rPr>
                <w:color w:val="000000" w:themeColor="text1"/>
              </w:rPr>
              <w:t>1.1</w:t>
            </w:r>
          </w:p>
        </w:tc>
        <w:tc>
          <w:tcPr>
            <w:tcW w:w="4678" w:type="dxa"/>
            <w:vAlign w:val="center"/>
          </w:tcPr>
          <w:p w14:paraId="40210609" w14:textId="77777777" w:rsidR="00AF4033" w:rsidRPr="00AF4033" w:rsidRDefault="00AF4033" w:rsidP="00AF4033">
            <w:pPr>
              <w:pStyle w:val="ae"/>
              <w:rPr>
                <w:rFonts w:ascii="Times New Roman" w:hAnsi="Times New Roman" w:cs="Times New Roman"/>
                <w:color w:val="000000" w:themeColor="text1"/>
                <w:sz w:val="24"/>
                <w:szCs w:val="24"/>
              </w:rPr>
            </w:pPr>
            <w:proofErr w:type="spellStart"/>
            <w:r w:rsidRPr="00AF4033">
              <w:rPr>
                <w:rFonts w:ascii="Times New Roman" w:hAnsi="Times New Roman" w:cs="Times New Roman"/>
                <w:color w:val="000000" w:themeColor="text1"/>
                <w:sz w:val="24"/>
                <w:szCs w:val="24"/>
              </w:rPr>
              <w:t>Килимове</w:t>
            </w:r>
            <w:proofErr w:type="spellEnd"/>
            <w:r w:rsidRPr="00AF4033">
              <w:rPr>
                <w:rFonts w:ascii="Times New Roman" w:hAnsi="Times New Roman" w:cs="Times New Roman"/>
                <w:color w:val="000000" w:themeColor="text1"/>
                <w:sz w:val="24"/>
                <w:szCs w:val="24"/>
              </w:rPr>
              <w:t xml:space="preserve"> </w:t>
            </w:r>
            <w:proofErr w:type="spellStart"/>
            <w:r w:rsidRPr="00AF4033">
              <w:rPr>
                <w:rFonts w:ascii="Times New Roman" w:hAnsi="Times New Roman" w:cs="Times New Roman"/>
                <w:color w:val="000000" w:themeColor="text1"/>
                <w:sz w:val="24"/>
                <w:szCs w:val="24"/>
              </w:rPr>
              <w:t>покриття</w:t>
            </w:r>
            <w:proofErr w:type="spellEnd"/>
          </w:p>
        </w:tc>
        <w:tc>
          <w:tcPr>
            <w:tcW w:w="1984" w:type="dxa"/>
            <w:vAlign w:val="center"/>
          </w:tcPr>
          <w:p w14:paraId="4DF157AB" w14:textId="77777777" w:rsidR="00AF4033" w:rsidRPr="00AF4033" w:rsidRDefault="00AF4033" w:rsidP="00AF4033">
            <w:pPr>
              <w:pStyle w:val="a6"/>
              <w:jc w:val="center"/>
              <w:rPr>
                <w:color w:val="000000" w:themeColor="text1"/>
              </w:rPr>
            </w:pPr>
            <w:r w:rsidRPr="00AF4033">
              <w:rPr>
                <w:color w:val="000000" w:themeColor="text1"/>
              </w:rPr>
              <w:t>м2</w:t>
            </w:r>
          </w:p>
        </w:tc>
        <w:tc>
          <w:tcPr>
            <w:tcW w:w="2268" w:type="dxa"/>
            <w:vAlign w:val="center"/>
          </w:tcPr>
          <w:p w14:paraId="3EBD1124" w14:textId="77777777" w:rsidR="00AF4033" w:rsidRPr="00AF4033" w:rsidRDefault="00AF4033" w:rsidP="00AF4033">
            <w:pPr>
              <w:pStyle w:val="a6"/>
              <w:jc w:val="center"/>
              <w:rPr>
                <w:color w:val="000000" w:themeColor="text1"/>
              </w:rPr>
            </w:pPr>
            <w:r w:rsidRPr="00AF4033">
              <w:rPr>
                <w:color w:val="000000" w:themeColor="text1"/>
              </w:rPr>
              <w:t>130</w:t>
            </w:r>
          </w:p>
        </w:tc>
      </w:tr>
      <w:tr w:rsidR="00AF4033" w:rsidRPr="00AF4033" w14:paraId="5A9C0C8A" w14:textId="77777777" w:rsidTr="00AF4033">
        <w:tc>
          <w:tcPr>
            <w:tcW w:w="704" w:type="dxa"/>
            <w:vAlign w:val="center"/>
          </w:tcPr>
          <w:p w14:paraId="2A46879A" w14:textId="77777777" w:rsidR="00AF4033" w:rsidRPr="00AF4033" w:rsidRDefault="00AF4033" w:rsidP="00AF4033">
            <w:pPr>
              <w:pStyle w:val="a6"/>
              <w:jc w:val="center"/>
              <w:rPr>
                <w:color w:val="000000" w:themeColor="text1"/>
              </w:rPr>
            </w:pPr>
            <w:r w:rsidRPr="00AF4033">
              <w:rPr>
                <w:color w:val="000000" w:themeColor="text1"/>
              </w:rPr>
              <w:t>1.2</w:t>
            </w:r>
          </w:p>
        </w:tc>
        <w:tc>
          <w:tcPr>
            <w:tcW w:w="4678" w:type="dxa"/>
            <w:vAlign w:val="center"/>
          </w:tcPr>
          <w:p w14:paraId="6ECCDA36" w14:textId="77777777" w:rsidR="00AF4033" w:rsidRPr="00AF4033" w:rsidRDefault="00AF4033" w:rsidP="00AF4033">
            <w:pPr>
              <w:pStyle w:val="ae"/>
              <w:rPr>
                <w:rFonts w:ascii="Times New Roman" w:hAnsi="Times New Roman" w:cs="Times New Roman"/>
                <w:color w:val="000000" w:themeColor="text1"/>
                <w:sz w:val="24"/>
                <w:szCs w:val="24"/>
              </w:rPr>
            </w:pPr>
            <w:proofErr w:type="spellStart"/>
            <w:r w:rsidRPr="00AF4033">
              <w:rPr>
                <w:rFonts w:ascii="Times New Roman" w:hAnsi="Times New Roman" w:cs="Times New Roman"/>
                <w:color w:val="000000" w:themeColor="text1"/>
                <w:sz w:val="24"/>
                <w:szCs w:val="24"/>
              </w:rPr>
              <w:t>Стрічка</w:t>
            </w:r>
            <w:proofErr w:type="spellEnd"/>
            <w:r w:rsidRPr="00AF4033">
              <w:rPr>
                <w:rFonts w:ascii="Times New Roman" w:hAnsi="Times New Roman" w:cs="Times New Roman"/>
                <w:color w:val="000000" w:themeColor="text1"/>
                <w:sz w:val="24"/>
                <w:szCs w:val="24"/>
              </w:rPr>
              <w:t xml:space="preserve"> для </w:t>
            </w:r>
            <w:proofErr w:type="spellStart"/>
            <w:r w:rsidRPr="00AF4033">
              <w:rPr>
                <w:rFonts w:ascii="Times New Roman" w:hAnsi="Times New Roman" w:cs="Times New Roman"/>
                <w:color w:val="000000" w:themeColor="text1"/>
                <w:sz w:val="24"/>
                <w:szCs w:val="24"/>
              </w:rPr>
              <w:t>коврів</w:t>
            </w:r>
            <w:proofErr w:type="spellEnd"/>
            <w:r w:rsidRPr="00AF4033">
              <w:rPr>
                <w:rFonts w:ascii="Times New Roman" w:hAnsi="Times New Roman" w:cs="Times New Roman"/>
                <w:color w:val="000000" w:themeColor="text1"/>
                <w:sz w:val="24"/>
                <w:szCs w:val="24"/>
              </w:rPr>
              <w:t xml:space="preserve"> </w:t>
            </w:r>
            <w:proofErr w:type="spellStart"/>
            <w:r w:rsidRPr="00AF4033">
              <w:rPr>
                <w:rFonts w:ascii="Times New Roman" w:hAnsi="Times New Roman" w:cs="Times New Roman"/>
                <w:color w:val="000000" w:themeColor="text1"/>
                <w:sz w:val="24"/>
                <w:szCs w:val="24"/>
              </w:rPr>
              <w:t>тканинна</w:t>
            </w:r>
            <w:proofErr w:type="spellEnd"/>
            <w:r w:rsidRPr="00AF4033">
              <w:rPr>
                <w:rFonts w:ascii="Times New Roman" w:hAnsi="Times New Roman" w:cs="Times New Roman"/>
                <w:color w:val="000000" w:themeColor="text1"/>
                <w:sz w:val="24"/>
                <w:szCs w:val="24"/>
              </w:rPr>
              <w:t xml:space="preserve"> </w:t>
            </w:r>
            <w:proofErr w:type="spellStart"/>
            <w:r w:rsidRPr="00AF4033">
              <w:rPr>
                <w:rFonts w:ascii="Times New Roman" w:hAnsi="Times New Roman" w:cs="Times New Roman"/>
                <w:color w:val="000000" w:themeColor="text1"/>
                <w:sz w:val="24"/>
                <w:szCs w:val="24"/>
              </w:rPr>
              <w:t>двостороння</w:t>
            </w:r>
            <w:proofErr w:type="spellEnd"/>
          </w:p>
        </w:tc>
        <w:tc>
          <w:tcPr>
            <w:tcW w:w="1984" w:type="dxa"/>
            <w:vAlign w:val="center"/>
          </w:tcPr>
          <w:p w14:paraId="43DC3D75" w14:textId="77777777" w:rsidR="00AF4033" w:rsidRPr="00AF4033" w:rsidRDefault="00AF4033" w:rsidP="00AF4033">
            <w:pPr>
              <w:pStyle w:val="a6"/>
              <w:jc w:val="center"/>
              <w:rPr>
                <w:color w:val="000000" w:themeColor="text1"/>
              </w:rPr>
            </w:pPr>
            <w:r w:rsidRPr="00AF4033">
              <w:rPr>
                <w:color w:val="000000" w:themeColor="text1"/>
              </w:rPr>
              <w:t>шт.</w:t>
            </w:r>
          </w:p>
        </w:tc>
        <w:tc>
          <w:tcPr>
            <w:tcW w:w="2268" w:type="dxa"/>
            <w:vAlign w:val="center"/>
          </w:tcPr>
          <w:p w14:paraId="732E8472" w14:textId="77777777" w:rsidR="00AF4033" w:rsidRPr="00AF4033" w:rsidRDefault="00AF4033" w:rsidP="00AF4033">
            <w:pPr>
              <w:pStyle w:val="a6"/>
              <w:jc w:val="center"/>
              <w:rPr>
                <w:color w:val="000000" w:themeColor="text1"/>
              </w:rPr>
            </w:pPr>
            <w:r w:rsidRPr="00AF4033">
              <w:rPr>
                <w:color w:val="000000" w:themeColor="text1"/>
              </w:rPr>
              <w:t>10</w:t>
            </w:r>
          </w:p>
        </w:tc>
      </w:tr>
    </w:tbl>
    <w:p w14:paraId="2F99DF2E" w14:textId="77777777" w:rsidR="00AF4033" w:rsidRPr="00AF4033" w:rsidRDefault="00AF4033" w:rsidP="00AF4033">
      <w:pPr>
        <w:spacing w:after="0" w:line="240" w:lineRule="auto"/>
        <w:jc w:val="both"/>
        <w:rPr>
          <w:rFonts w:ascii="Times New Roman" w:hAnsi="Times New Roman" w:cs="Times New Roman"/>
          <w:color w:val="000000" w:themeColor="text1"/>
          <w:sz w:val="24"/>
          <w:szCs w:val="24"/>
        </w:rPr>
      </w:pPr>
    </w:p>
    <w:p w14:paraId="3D13A168" w14:textId="77777777" w:rsidR="00AF4033" w:rsidRPr="00AF4033" w:rsidRDefault="00AF4033" w:rsidP="00AF4033">
      <w:pPr>
        <w:spacing w:after="0" w:line="240" w:lineRule="auto"/>
        <w:ind w:firstLine="567"/>
        <w:jc w:val="both"/>
        <w:rPr>
          <w:rFonts w:ascii="Times New Roman" w:hAnsi="Times New Roman" w:cs="Times New Roman"/>
          <w:i/>
          <w:iCs/>
          <w:color w:val="000000" w:themeColor="text1"/>
          <w:sz w:val="24"/>
          <w:szCs w:val="24"/>
        </w:rPr>
      </w:pPr>
      <w:r w:rsidRPr="00AF4033">
        <w:rPr>
          <w:rFonts w:ascii="Times New Roman" w:hAnsi="Times New Roman" w:cs="Times New Roman"/>
          <w:i/>
          <w:iCs/>
          <w:color w:val="000000" w:themeColor="text1"/>
          <w:sz w:val="24"/>
          <w:szCs w:val="24"/>
          <w:lang w:eastAsia="ru-RU"/>
        </w:rPr>
        <w:t xml:space="preserve">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AF4033">
        <w:rPr>
          <w:rFonts w:ascii="Times New Roman" w:hAnsi="Times New Roman" w:cs="Times New Roman"/>
          <w:i/>
          <w:iCs/>
          <w:color w:val="000000" w:themeColor="text1"/>
          <w:sz w:val="24"/>
          <w:szCs w:val="24"/>
          <w:lang w:eastAsia="ru-RU"/>
        </w:rPr>
        <w:t>проєкту</w:t>
      </w:r>
      <w:proofErr w:type="spellEnd"/>
      <w:r w:rsidRPr="00AF4033">
        <w:rPr>
          <w:rFonts w:ascii="Times New Roman" w:hAnsi="Times New Roman" w:cs="Times New Roman"/>
          <w:i/>
          <w:iCs/>
          <w:color w:val="000000" w:themeColor="text1"/>
          <w:sz w:val="24"/>
          <w:szCs w:val="24"/>
          <w:lang w:eastAsia="ru-RU"/>
        </w:rPr>
        <w:t xml:space="preserve"> Договору до моменту його повного завершення</w:t>
      </w:r>
      <w:r w:rsidRPr="00AF4033">
        <w:rPr>
          <w:rFonts w:ascii="Times New Roman" w:hAnsi="Times New Roman" w:cs="Times New Roman"/>
          <w:i/>
          <w:iCs/>
          <w:color w:val="000000" w:themeColor="text1"/>
          <w:sz w:val="24"/>
          <w:szCs w:val="24"/>
        </w:rPr>
        <w:t>.</w:t>
      </w:r>
    </w:p>
    <w:p w14:paraId="3523E760" w14:textId="77777777" w:rsidR="00AF4033" w:rsidRPr="00AF4033" w:rsidRDefault="00AF4033" w:rsidP="00AF4033">
      <w:pPr>
        <w:spacing w:after="0" w:line="240" w:lineRule="auto"/>
        <w:ind w:firstLine="567"/>
        <w:jc w:val="both"/>
        <w:rPr>
          <w:rFonts w:ascii="Times New Roman" w:hAnsi="Times New Roman" w:cs="Times New Roman"/>
          <w:color w:val="000000" w:themeColor="text1"/>
          <w:sz w:val="24"/>
          <w:szCs w:val="24"/>
        </w:rPr>
      </w:pPr>
    </w:p>
    <w:p w14:paraId="3D702A7D" w14:textId="77777777" w:rsidR="00AF4033" w:rsidRPr="00AF4033" w:rsidRDefault="00AF4033" w:rsidP="00AF4033">
      <w:pPr>
        <w:spacing w:after="0" w:line="240" w:lineRule="auto"/>
        <w:jc w:val="both"/>
        <w:rPr>
          <w:rFonts w:ascii="Times New Roman" w:hAnsi="Times New Roman" w:cs="Times New Roman"/>
          <w:color w:val="000000" w:themeColor="text1"/>
          <w:sz w:val="24"/>
          <w:szCs w:val="24"/>
        </w:rPr>
      </w:pPr>
      <w:bookmarkStart w:id="0" w:name="_Hlk204248034"/>
    </w:p>
    <w:p w14:paraId="131AC45F" w14:textId="77777777" w:rsidR="00AF4033" w:rsidRPr="00AF4033" w:rsidRDefault="00AF4033" w:rsidP="00AF4033">
      <w:pPr>
        <w:spacing w:line="240" w:lineRule="auto"/>
        <w:ind w:firstLine="567"/>
        <w:jc w:val="center"/>
        <w:rPr>
          <w:rFonts w:ascii="Times New Roman" w:hAnsi="Times New Roman" w:cs="Times New Roman"/>
          <w:b/>
          <w:bCs/>
          <w:color w:val="000000" w:themeColor="text1"/>
          <w:sz w:val="24"/>
          <w:szCs w:val="24"/>
        </w:rPr>
      </w:pPr>
      <w:r w:rsidRPr="00AF4033">
        <w:rPr>
          <w:rFonts w:ascii="Times New Roman" w:hAnsi="Times New Roman" w:cs="Times New Roman"/>
          <w:b/>
          <w:bCs/>
          <w:color w:val="000000" w:themeColor="text1"/>
          <w:sz w:val="24"/>
          <w:szCs w:val="24"/>
        </w:rPr>
        <w:t xml:space="preserve">Специфікація товару </w:t>
      </w:r>
    </w:p>
    <w:tbl>
      <w:tblPr>
        <w:tblStyle w:val="a5"/>
        <w:tblW w:w="9639" w:type="dxa"/>
        <w:tblInd w:w="-5" w:type="dxa"/>
        <w:tblLook w:val="04A0" w:firstRow="1" w:lastRow="0" w:firstColumn="1" w:lastColumn="0" w:noHBand="0" w:noVBand="1"/>
      </w:tblPr>
      <w:tblGrid>
        <w:gridCol w:w="563"/>
        <w:gridCol w:w="5988"/>
        <w:gridCol w:w="1246"/>
        <w:gridCol w:w="1842"/>
      </w:tblGrid>
      <w:tr w:rsidR="00AF4033" w:rsidRPr="00AF4033" w14:paraId="0428E694" w14:textId="77777777" w:rsidTr="00AF4033">
        <w:tc>
          <w:tcPr>
            <w:tcW w:w="563" w:type="dxa"/>
            <w:vAlign w:val="center"/>
          </w:tcPr>
          <w:p w14:paraId="04EC2484" w14:textId="77777777" w:rsidR="00AF4033" w:rsidRPr="00AF4033" w:rsidRDefault="00AF4033" w:rsidP="00AF4033">
            <w:pPr>
              <w:suppressAutoHyphens/>
              <w:contextualSpacing/>
              <w:jc w:val="center"/>
              <w:rPr>
                <w:rFonts w:ascii="Times New Roman" w:hAnsi="Times New Roman" w:cs="Times New Roman"/>
                <w:b/>
                <w:bCs/>
                <w:color w:val="000000" w:themeColor="text1"/>
                <w:sz w:val="24"/>
                <w:szCs w:val="24"/>
              </w:rPr>
            </w:pPr>
            <w:bookmarkStart w:id="1" w:name="_Hlk209684807"/>
            <w:r w:rsidRPr="00AF4033">
              <w:rPr>
                <w:rFonts w:ascii="Times New Roman" w:hAnsi="Times New Roman" w:cs="Times New Roman"/>
                <w:b/>
                <w:bCs/>
                <w:color w:val="000000" w:themeColor="text1"/>
                <w:sz w:val="24"/>
                <w:szCs w:val="24"/>
              </w:rPr>
              <w:t>№</w:t>
            </w:r>
          </w:p>
          <w:p w14:paraId="724191AD" w14:textId="77777777" w:rsidR="00AF4033" w:rsidRPr="00AF4033" w:rsidRDefault="00AF4033" w:rsidP="00AF4033">
            <w:pPr>
              <w:suppressAutoHyphens/>
              <w:contextualSpacing/>
              <w:jc w:val="both"/>
              <w:rPr>
                <w:rFonts w:ascii="Times New Roman" w:hAnsi="Times New Roman" w:cs="Times New Roman"/>
                <w:b/>
                <w:bCs/>
                <w:color w:val="000000" w:themeColor="text1"/>
                <w:sz w:val="24"/>
                <w:szCs w:val="24"/>
              </w:rPr>
            </w:pPr>
            <w:r w:rsidRPr="00AF4033">
              <w:rPr>
                <w:rFonts w:ascii="Times New Roman" w:hAnsi="Times New Roman" w:cs="Times New Roman"/>
                <w:b/>
                <w:bCs/>
                <w:color w:val="000000" w:themeColor="text1"/>
                <w:sz w:val="24"/>
                <w:szCs w:val="24"/>
              </w:rPr>
              <w:t>з/п</w:t>
            </w:r>
          </w:p>
        </w:tc>
        <w:tc>
          <w:tcPr>
            <w:tcW w:w="5988" w:type="dxa"/>
            <w:vAlign w:val="center"/>
          </w:tcPr>
          <w:p w14:paraId="587E7CC0" w14:textId="77777777" w:rsidR="00AF4033" w:rsidRPr="00AF4033" w:rsidRDefault="00AF4033" w:rsidP="00AF4033">
            <w:pPr>
              <w:suppressAutoHyphens/>
              <w:contextualSpacing/>
              <w:jc w:val="center"/>
              <w:rPr>
                <w:rFonts w:ascii="Times New Roman" w:hAnsi="Times New Roman" w:cs="Times New Roman"/>
                <w:b/>
                <w:bCs/>
                <w:color w:val="000000" w:themeColor="text1"/>
                <w:sz w:val="24"/>
                <w:szCs w:val="24"/>
              </w:rPr>
            </w:pPr>
            <w:r w:rsidRPr="00AF4033">
              <w:rPr>
                <w:rFonts w:ascii="Times New Roman" w:hAnsi="Times New Roman" w:cs="Times New Roman"/>
                <w:b/>
                <w:bCs/>
                <w:color w:val="000000" w:themeColor="text1"/>
                <w:sz w:val="24"/>
                <w:szCs w:val="24"/>
              </w:rPr>
              <w:t>Найменування товару</w:t>
            </w:r>
          </w:p>
        </w:tc>
        <w:tc>
          <w:tcPr>
            <w:tcW w:w="1246" w:type="dxa"/>
            <w:vAlign w:val="center"/>
          </w:tcPr>
          <w:p w14:paraId="0784C8F7" w14:textId="77777777" w:rsidR="00AF4033" w:rsidRPr="00AF4033" w:rsidRDefault="00AF4033" w:rsidP="00AF4033">
            <w:pPr>
              <w:suppressAutoHyphens/>
              <w:contextualSpacing/>
              <w:jc w:val="center"/>
              <w:rPr>
                <w:rFonts w:ascii="Times New Roman" w:hAnsi="Times New Roman" w:cs="Times New Roman"/>
                <w:b/>
                <w:bCs/>
                <w:color w:val="000000" w:themeColor="text1"/>
                <w:sz w:val="24"/>
                <w:szCs w:val="24"/>
              </w:rPr>
            </w:pPr>
            <w:r w:rsidRPr="00AF4033">
              <w:rPr>
                <w:rFonts w:ascii="Times New Roman" w:hAnsi="Times New Roman" w:cs="Times New Roman"/>
                <w:b/>
                <w:bCs/>
                <w:color w:val="000000" w:themeColor="text1"/>
                <w:sz w:val="24"/>
                <w:szCs w:val="24"/>
              </w:rPr>
              <w:t>Одиниця виміру</w:t>
            </w:r>
          </w:p>
        </w:tc>
        <w:tc>
          <w:tcPr>
            <w:tcW w:w="1842" w:type="dxa"/>
            <w:vAlign w:val="center"/>
          </w:tcPr>
          <w:p w14:paraId="0C1E5ED6" w14:textId="77777777" w:rsidR="00AF4033" w:rsidRPr="00AF4033" w:rsidRDefault="00AF4033" w:rsidP="00AF4033">
            <w:pPr>
              <w:suppressAutoHyphens/>
              <w:contextualSpacing/>
              <w:jc w:val="both"/>
              <w:rPr>
                <w:rFonts w:ascii="Times New Roman" w:hAnsi="Times New Roman" w:cs="Times New Roman"/>
                <w:b/>
                <w:bCs/>
                <w:color w:val="000000" w:themeColor="text1"/>
                <w:sz w:val="24"/>
                <w:szCs w:val="24"/>
              </w:rPr>
            </w:pPr>
            <w:r w:rsidRPr="00AF4033">
              <w:rPr>
                <w:rFonts w:ascii="Times New Roman" w:hAnsi="Times New Roman" w:cs="Times New Roman"/>
                <w:b/>
                <w:bCs/>
                <w:color w:val="000000" w:themeColor="text1"/>
                <w:sz w:val="24"/>
                <w:szCs w:val="24"/>
              </w:rPr>
              <w:t>Кількість</w:t>
            </w:r>
          </w:p>
        </w:tc>
      </w:tr>
      <w:tr w:rsidR="00AF4033" w:rsidRPr="00AF4033" w14:paraId="5346A3A6" w14:textId="77777777" w:rsidTr="00AF4033">
        <w:tc>
          <w:tcPr>
            <w:tcW w:w="563" w:type="dxa"/>
            <w:vAlign w:val="center"/>
          </w:tcPr>
          <w:p w14:paraId="30225D09" w14:textId="77777777" w:rsidR="00AF4033" w:rsidRPr="00AF4033" w:rsidRDefault="00AF4033" w:rsidP="00AF4033">
            <w:pPr>
              <w:suppressAutoHyphens/>
              <w:contextualSpacing/>
              <w:jc w:val="center"/>
              <w:rPr>
                <w:rFonts w:ascii="Times New Roman" w:hAnsi="Times New Roman" w:cs="Times New Roman"/>
                <w:b/>
                <w:bCs/>
                <w:color w:val="000000" w:themeColor="text1"/>
                <w:sz w:val="24"/>
                <w:szCs w:val="24"/>
              </w:rPr>
            </w:pPr>
            <w:r w:rsidRPr="00AF4033">
              <w:rPr>
                <w:rFonts w:ascii="Times New Roman" w:hAnsi="Times New Roman" w:cs="Times New Roman"/>
                <w:b/>
                <w:bCs/>
                <w:color w:val="000000" w:themeColor="text1"/>
                <w:sz w:val="24"/>
                <w:szCs w:val="24"/>
              </w:rPr>
              <w:t>1</w:t>
            </w:r>
          </w:p>
        </w:tc>
        <w:tc>
          <w:tcPr>
            <w:tcW w:w="5988" w:type="dxa"/>
            <w:vAlign w:val="center"/>
          </w:tcPr>
          <w:p w14:paraId="3157EE9F" w14:textId="77777777" w:rsidR="00AF4033" w:rsidRPr="00AF4033" w:rsidRDefault="00AF4033" w:rsidP="00AF4033">
            <w:pPr>
              <w:suppressAutoHyphens/>
              <w:contextualSpacing/>
              <w:jc w:val="center"/>
              <w:rPr>
                <w:rFonts w:ascii="Times New Roman" w:hAnsi="Times New Roman" w:cs="Times New Roman"/>
                <w:b/>
                <w:bCs/>
                <w:color w:val="000000" w:themeColor="text1"/>
                <w:sz w:val="24"/>
                <w:szCs w:val="24"/>
              </w:rPr>
            </w:pPr>
            <w:r w:rsidRPr="00AF4033">
              <w:rPr>
                <w:rFonts w:ascii="Times New Roman" w:hAnsi="Times New Roman" w:cs="Times New Roman"/>
                <w:b/>
                <w:bCs/>
                <w:color w:val="000000" w:themeColor="text1"/>
                <w:sz w:val="24"/>
                <w:szCs w:val="24"/>
              </w:rPr>
              <w:t>Килимове покриття в комплекті</w:t>
            </w:r>
            <w:r w:rsidRPr="00AF4033">
              <w:rPr>
                <w:rFonts w:ascii="Times New Roman" w:hAnsi="Times New Roman" w:cs="Times New Roman"/>
                <w:i/>
                <w:iCs/>
                <w:color w:val="000000" w:themeColor="text1"/>
                <w:sz w:val="24"/>
                <w:szCs w:val="24"/>
              </w:rPr>
              <w:t>, у складі:</w:t>
            </w:r>
          </w:p>
        </w:tc>
        <w:tc>
          <w:tcPr>
            <w:tcW w:w="1246" w:type="dxa"/>
            <w:vAlign w:val="center"/>
          </w:tcPr>
          <w:p w14:paraId="156A2720" w14:textId="77777777" w:rsidR="00AF4033" w:rsidRPr="00AF4033" w:rsidRDefault="00AF4033" w:rsidP="00AF4033">
            <w:pPr>
              <w:suppressAutoHyphens/>
              <w:contextualSpacing/>
              <w:jc w:val="center"/>
              <w:rPr>
                <w:rFonts w:ascii="Times New Roman" w:hAnsi="Times New Roman" w:cs="Times New Roman"/>
                <w:b/>
                <w:bCs/>
                <w:color w:val="000000" w:themeColor="text1"/>
                <w:sz w:val="24"/>
                <w:szCs w:val="24"/>
              </w:rPr>
            </w:pPr>
            <w:r w:rsidRPr="00AF4033">
              <w:rPr>
                <w:rFonts w:ascii="Times New Roman" w:hAnsi="Times New Roman" w:cs="Times New Roman"/>
                <w:b/>
                <w:bCs/>
                <w:color w:val="000000" w:themeColor="text1"/>
                <w:sz w:val="24"/>
                <w:szCs w:val="24"/>
              </w:rPr>
              <w:t>комп.</w:t>
            </w:r>
          </w:p>
        </w:tc>
        <w:tc>
          <w:tcPr>
            <w:tcW w:w="1842" w:type="dxa"/>
            <w:vAlign w:val="center"/>
          </w:tcPr>
          <w:p w14:paraId="246BB68A" w14:textId="77777777" w:rsidR="00AF4033" w:rsidRPr="00AF4033" w:rsidRDefault="00AF4033" w:rsidP="00AF4033">
            <w:pPr>
              <w:suppressAutoHyphens/>
              <w:contextualSpacing/>
              <w:jc w:val="both"/>
              <w:rPr>
                <w:rFonts w:ascii="Times New Roman" w:hAnsi="Times New Roman" w:cs="Times New Roman"/>
                <w:b/>
                <w:bCs/>
                <w:color w:val="000000" w:themeColor="text1"/>
                <w:sz w:val="24"/>
                <w:szCs w:val="24"/>
              </w:rPr>
            </w:pPr>
            <w:r w:rsidRPr="00AF4033">
              <w:rPr>
                <w:rFonts w:ascii="Times New Roman" w:hAnsi="Times New Roman" w:cs="Times New Roman"/>
                <w:b/>
                <w:bCs/>
                <w:color w:val="000000" w:themeColor="text1"/>
                <w:sz w:val="24"/>
                <w:szCs w:val="24"/>
              </w:rPr>
              <w:t>1</w:t>
            </w:r>
          </w:p>
        </w:tc>
      </w:tr>
      <w:tr w:rsidR="00AF4033" w:rsidRPr="00AF4033" w14:paraId="1C32D780" w14:textId="77777777" w:rsidTr="00AF4033">
        <w:tc>
          <w:tcPr>
            <w:tcW w:w="563" w:type="dxa"/>
            <w:vAlign w:val="center"/>
          </w:tcPr>
          <w:p w14:paraId="5800F723" w14:textId="77777777" w:rsidR="00AF4033" w:rsidRPr="00AF4033" w:rsidRDefault="00AF4033" w:rsidP="00AF4033">
            <w:pPr>
              <w:suppressAutoHyphens/>
              <w:contextualSpacing/>
              <w:jc w:val="center"/>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1.1</w:t>
            </w:r>
          </w:p>
        </w:tc>
        <w:tc>
          <w:tcPr>
            <w:tcW w:w="5988" w:type="dxa"/>
            <w:vAlign w:val="center"/>
          </w:tcPr>
          <w:p w14:paraId="3815DFC5"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Килимове покриття</w:t>
            </w:r>
          </w:p>
          <w:p w14:paraId="3A364B2E"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Ширина рулону: 3 м;</w:t>
            </w:r>
          </w:p>
          <w:p w14:paraId="4FEEE98B"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Колір: чорний;</w:t>
            </w:r>
          </w:p>
          <w:p w14:paraId="1B825E6D"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Загальна товщина: 4,5 мм;</w:t>
            </w:r>
          </w:p>
          <w:p w14:paraId="736D48C5"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lastRenderedPageBreak/>
              <w:t>Загальна вага: 1415 г/м2;</w:t>
            </w:r>
          </w:p>
          <w:p w14:paraId="428DB137"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 xml:space="preserve">Склад ворсу: 90% </w:t>
            </w:r>
            <w:proofErr w:type="spellStart"/>
            <w:r w:rsidRPr="00AF4033">
              <w:rPr>
                <w:rFonts w:ascii="Times New Roman" w:hAnsi="Times New Roman" w:cs="Times New Roman"/>
                <w:color w:val="000000" w:themeColor="text1"/>
                <w:sz w:val="24"/>
                <w:szCs w:val="24"/>
              </w:rPr>
              <w:t>поліестер</w:t>
            </w:r>
            <w:proofErr w:type="spellEnd"/>
            <w:r w:rsidRPr="00AF4033">
              <w:rPr>
                <w:rFonts w:ascii="Times New Roman" w:hAnsi="Times New Roman" w:cs="Times New Roman"/>
                <w:color w:val="000000" w:themeColor="text1"/>
                <w:sz w:val="24"/>
                <w:szCs w:val="24"/>
              </w:rPr>
              <w:t xml:space="preserve"> 10% поліпропілен;</w:t>
            </w:r>
          </w:p>
          <w:p w14:paraId="50D46A5D"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Вага ворсу: 400 г/м2</w:t>
            </w:r>
          </w:p>
          <w:p w14:paraId="00015465"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Вид: комерційний, побутовий;</w:t>
            </w:r>
          </w:p>
          <w:p w14:paraId="4E0F5BAA"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Тип ворсу: короткий;</w:t>
            </w:r>
          </w:p>
          <w:p w14:paraId="3E3C72B5"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 xml:space="preserve">Структура ворсу: тонкі полоси, рельєфні на дотик </w:t>
            </w:r>
          </w:p>
          <w:p w14:paraId="30096B50"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Висота ворсу: 3,5 мм;</w:t>
            </w:r>
          </w:p>
          <w:p w14:paraId="7466A291"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Спосіб виробництва:</w:t>
            </w:r>
          </w:p>
          <w:p w14:paraId="207791F5"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Голкопробивний;</w:t>
            </w:r>
          </w:p>
          <w:p w14:paraId="26273275"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Основа: гума</w:t>
            </w:r>
          </w:p>
          <w:p w14:paraId="48C76CCC"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Сфера застосування:</w:t>
            </w:r>
          </w:p>
          <w:p w14:paraId="25A5B417"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для житлових приміщень, для коридора, для офісів,</w:t>
            </w:r>
          </w:p>
          <w:p w14:paraId="60FA91FF"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 xml:space="preserve">для вулиці; </w:t>
            </w:r>
          </w:p>
          <w:p w14:paraId="07BFD3F5"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p>
          <w:p w14:paraId="65331C31"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p>
          <w:p w14:paraId="74CD7ADC"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r w:rsidRPr="00AF4033">
              <w:rPr>
                <w:rFonts w:ascii="Times New Roman" w:hAnsi="Times New Roman" w:cs="Times New Roman"/>
                <w:noProof/>
                <w:color w:val="000000" w:themeColor="text1"/>
                <w:sz w:val="24"/>
                <w:szCs w:val="24"/>
              </w:rPr>
              <w:drawing>
                <wp:inline distT="0" distB="0" distL="0" distR="0" wp14:anchorId="621C0284" wp14:editId="4A0096F3">
                  <wp:extent cx="1853565" cy="1853565"/>
                  <wp:effectExtent l="0" t="0" r="0" b="0"/>
                  <wp:docPr id="1826598460" name="Рисунок 1" descr="Зображення, що містить одежа, візерунок, тканина&#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598460" name="Рисунок 1" descr="Зображення, що містить одежа, візерунок, тканина&#10;&#10;Вміст на основі ШІ може бути неправильни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3565" cy="1853565"/>
                          </a:xfrm>
                          <a:prstGeom prst="rect">
                            <a:avLst/>
                          </a:prstGeom>
                          <a:noFill/>
                        </pic:spPr>
                      </pic:pic>
                    </a:graphicData>
                  </a:graphic>
                </wp:inline>
              </w:drawing>
            </w:r>
          </w:p>
          <w:p w14:paraId="09EF3BD1"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p>
        </w:tc>
        <w:tc>
          <w:tcPr>
            <w:tcW w:w="1246" w:type="dxa"/>
            <w:vAlign w:val="center"/>
          </w:tcPr>
          <w:p w14:paraId="39D67800" w14:textId="77777777" w:rsidR="00AF4033" w:rsidRPr="00AF4033" w:rsidRDefault="00AF4033" w:rsidP="00AF4033">
            <w:pPr>
              <w:suppressAutoHyphens/>
              <w:contextualSpacing/>
              <w:jc w:val="center"/>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lastRenderedPageBreak/>
              <w:t>м2</w:t>
            </w:r>
          </w:p>
        </w:tc>
        <w:tc>
          <w:tcPr>
            <w:tcW w:w="1842" w:type="dxa"/>
            <w:vAlign w:val="center"/>
          </w:tcPr>
          <w:p w14:paraId="73C65EE1" w14:textId="77777777" w:rsidR="00AF4033" w:rsidRPr="00AF4033" w:rsidRDefault="00AF4033" w:rsidP="00AF4033">
            <w:pPr>
              <w:suppressAutoHyphens/>
              <w:contextualSpacing/>
              <w:jc w:val="center"/>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130</w:t>
            </w:r>
          </w:p>
        </w:tc>
      </w:tr>
      <w:tr w:rsidR="00AF4033" w:rsidRPr="00AF4033" w14:paraId="3DF34190" w14:textId="77777777" w:rsidTr="00AF4033">
        <w:tc>
          <w:tcPr>
            <w:tcW w:w="563" w:type="dxa"/>
            <w:vAlign w:val="center"/>
          </w:tcPr>
          <w:p w14:paraId="6582036B" w14:textId="77777777" w:rsidR="00AF4033" w:rsidRPr="00AF4033" w:rsidRDefault="00AF4033" w:rsidP="00AF4033">
            <w:pPr>
              <w:suppressAutoHyphens/>
              <w:contextualSpacing/>
              <w:jc w:val="center"/>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1.2</w:t>
            </w:r>
          </w:p>
        </w:tc>
        <w:tc>
          <w:tcPr>
            <w:tcW w:w="5988" w:type="dxa"/>
            <w:vAlign w:val="center"/>
          </w:tcPr>
          <w:p w14:paraId="47CA095F"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 xml:space="preserve">Стрічка для </w:t>
            </w:r>
            <w:proofErr w:type="spellStart"/>
            <w:r w:rsidRPr="00AF4033">
              <w:rPr>
                <w:rFonts w:ascii="Times New Roman" w:hAnsi="Times New Roman" w:cs="Times New Roman"/>
                <w:color w:val="000000" w:themeColor="text1"/>
                <w:sz w:val="24"/>
                <w:szCs w:val="24"/>
              </w:rPr>
              <w:t>коврів</w:t>
            </w:r>
            <w:proofErr w:type="spellEnd"/>
            <w:r w:rsidRPr="00AF4033">
              <w:rPr>
                <w:rFonts w:ascii="Times New Roman" w:hAnsi="Times New Roman" w:cs="Times New Roman"/>
                <w:color w:val="000000" w:themeColor="text1"/>
                <w:sz w:val="24"/>
                <w:szCs w:val="24"/>
              </w:rPr>
              <w:t xml:space="preserve"> тканинна двостороння</w:t>
            </w:r>
          </w:p>
          <w:p w14:paraId="2CD651C3"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Довжина: 25 м</w:t>
            </w:r>
          </w:p>
          <w:p w14:paraId="350B6DEC"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Товщина: 0,24 мм</w:t>
            </w:r>
          </w:p>
          <w:p w14:paraId="1284C689"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Ширина: 50 мм</w:t>
            </w:r>
          </w:p>
          <w:p w14:paraId="0AC13A68"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Колір: білий</w:t>
            </w:r>
          </w:p>
          <w:p w14:paraId="31EA69F2"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 xml:space="preserve">Тип з'єднання: довгострокове; </w:t>
            </w:r>
          </w:p>
          <w:p w14:paraId="08EF2B4E"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Клейова основа: бавовняна тканина;</w:t>
            </w:r>
          </w:p>
          <w:p w14:paraId="5A5D0043"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Тип клею: каучуковий, сила адгезії: 27 Н/25 мм (відкрита сторона) / 35 Н/25 мм (закрита сторона), початкова адгезія: висока, вологостійкість: низька, УФ-стійкість: низька, хімічна стійкість: низька, міцність на розрив: 80 Н/25 мм</w:t>
            </w:r>
          </w:p>
          <w:p w14:paraId="3CDFFBA2"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 xml:space="preserve">Поверхня експлуатації: лінолеум, поліетилен, поліпропілен, </w:t>
            </w:r>
            <w:proofErr w:type="spellStart"/>
            <w:r w:rsidRPr="00AF4033">
              <w:rPr>
                <w:rFonts w:ascii="Times New Roman" w:hAnsi="Times New Roman" w:cs="Times New Roman"/>
                <w:color w:val="000000" w:themeColor="text1"/>
                <w:sz w:val="24"/>
                <w:szCs w:val="24"/>
              </w:rPr>
              <w:t>ковролін</w:t>
            </w:r>
            <w:proofErr w:type="spellEnd"/>
            <w:r w:rsidRPr="00AF4033">
              <w:rPr>
                <w:rFonts w:ascii="Times New Roman" w:hAnsi="Times New Roman" w:cs="Times New Roman"/>
                <w:color w:val="000000" w:themeColor="text1"/>
                <w:sz w:val="24"/>
                <w:szCs w:val="24"/>
              </w:rPr>
              <w:t>, текстиль, плити OSB, ДСП, ДВП, пластик, дерево, плитка, бетон;</w:t>
            </w:r>
          </w:p>
          <w:p w14:paraId="77C541E7"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Температурний діапазон: від -30 °C до +60 °C</w:t>
            </w:r>
          </w:p>
          <w:p w14:paraId="657E22C4"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Сфера застосування:</w:t>
            </w:r>
          </w:p>
          <w:p w14:paraId="3308B01E" w14:textId="77777777" w:rsidR="00AF4033" w:rsidRPr="00AF4033" w:rsidRDefault="00AF4033" w:rsidP="00AF4033">
            <w:pPr>
              <w:suppressAutoHyphens/>
              <w:contextualSpacing/>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для внутрішніх робіт</w:t>
            </w:r>
          </w:p>
        </w:tc>
        <w:tc>
          <w:tcPr>
            <w:tcW w:w="1246" w:type="dxa"/>
            <w:vAlign w:val="center"/>
          </w:tcPr>
          <w:p w14:paraId="6F592C7D" w14:textId="77777777" w:rsidR="00AF4033" w:rsidRPr="00AF4033" w:rsidRDefault="00AF4033" w:rsidP="00AF4033">
            <w:pPr>
              <w:suppressAutoHyphens/>
              <w:contextualSpacing/>
              <w:jc w:val="center"/>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шт.</w:t>
            </w:r>
          </w:p>
        </w:tc>
        <w:tc>
          <w:tcPr>
            <w:tcW w:w="1842" w:type="dxa"/>
            <w:vAlign w:val="center"/>
          </w:tcPr>
          <w:p w14:paraId="4B0C9D16" w14:textId="77777777" w:rsidR="00AF4033" w:rsidRPr="00AF4033" w:rsidRDefault="00AF4033" w:rsidP="00AF4033">
            <w:pPr>
              <w:suppressAutoHyphens/>
              <w:contextualSpacing/>
              <w:jc w:val="center"/>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10</w:t>
            </w:r>
          </w:p>
        </w:tc>
      </w:tr>
      <w:bookmarkEnd w:id="1"/>
    </w:tbl>
    <w:p w14:paraId="382712B8" w14:textId="77777777" w:rsidR="00AF4033" w:rsidRPr="00AF4033" w:rsidRDefault="00AF4033" w:rsidP="00AF4033">
      <w:pPr>
        <w:spacing w:after="0" w:line="240" w:lineRule="auto"/>
        <w:jc w:val="both"/>
        <w:rPr>
          <w:rFonts w:ascii="Times New Roman" w:hAnsi="Times New Roman" w:cs="Times New Roman"/>
          <w:color w:val="000000" w:themeColor="text1"/>
          <w:sz w:val="24"/>
          <w:szCs w:val="24"/>
        </w:rPr>
      </w:pPr>
    </w:p>
    <w:p w14:paraId="4E05FBC7" w14:textId="77777777" w:rsidR="00AF4033" w:rsidRPr="00AF4033" w:rsidRDefault="00AF4033" w:rsidP="00AF4033">
      <w:pPr>
        <w:spacing w:after="0" w:line="240" w:lineRule="auto"/>
        <w:ind w:firstLine="567"/>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1. Товар повинен бути новим, з повною комплектацією. Із товаром поставляються технічний паспорт чи інструкція з експлуатації українською мовою, гарантійні талони тощо,  передбачені для товару. Упаковка, в якій постачається товар, має відповідати загальноприйнятим стандартам і технічним умовам, забезпечувати зберігання товару та/або його неушкодженість при транспортуванні.</w:t>
      </w:r>
    </w:p>
    <w:p w14:paraId="5698E073" w14:textId="77777777" w:rsidR="00AF4033" w:rsidRPr="00AF4033" w:rsidRDefault="00AF4033" w:rsidP="00AF4033">
      <w:pPr>
        <w:spacing w:after="0" w:line="240" w:lineRule="auto"/>
        <w:ind w:firstLine="567"/>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2. Технічні та якісні характеристики повинні відповідати вимогам і стандартам відповідних чинних нормативних документів.</w:t>
      </w:r>
    </w:p>
    <w:p w14:paraId="41E78FD7" w14:textId="77777777" w:rsidR="00AF4033" w:rsidRPr="00AF4033" w:rsidRDefault="00AF4033" w:rsidP="00AF4033">
      <w:pPr>
        <w:spacing w:after="0" w:line="240" w:lineRule="auto"/>
        <w:ind w:firstLine="567"/>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3. Доставка та розвантаження товару здійснюється за рахунок і силами Постачальника у попередньо узгоджені у терміни і визначається в кожному випадку замовленням Замовника.</w:t>
      </w:r>
    </w:p>
    <w:p w14:paraId="6B8612CE" w14:textId="77777777" w:rsidR="00AF4033" w:rsidRPr="00AF4033" w:rsidRDefault="00AF4033" w:rsidP="00AF4033">
      <w:pPr>
        <w:spacing w:after="0" w:line="240" w:lineRule="auto"/>
        <w:ind w:firstLine="567"/>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lastRenderedPageBreak/>
        <w:t>4. Приймання товарів проводиться при наявності товаро-супроводжуючих документів, видаткової накладної, актів прийому-передачі товару та копії документів, що підтверджують якість товарів.</w:t>
      </w:r>
    </w:p>
    <w:p w14:paraId="118C51AA" w14:textId="77777777" w:rsidR="00AF4033" w:rsidRPr="00AF4033" w:rsidRDefault="00AF4033" w:rsidP="00AF4033">
      <w:pPr>
        <w:spacing w:after="0" w:line="240" w:lineRule="auto"/>
        <w:ind w:firstLine="567"/>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pacing w:val="-2"/>
          <w:sz w:val="24"/>
          <w:szCs w:val="24"/>
        </w:rPr>
        <w:t>5.  Гарантійні зобов’язання (всіх найменувань) повинні бути не менше строків, визначених</w:t>
      </w:r>
      <w:r w:rsidRPr="00AF4033">
        <w:rPr>
          <w:rFonts w:ascii="Times New Roman" w:hAnsi="Times New Roman" w:cs="Times New Roman"/>
          <w:color w:val="000000" w:themeColor="text1"/>
          <w:sz w:val="24"/>
          <w:szCs w:val="24"/>
        </w:rPr>
        <w:t xml:space="preserve"> технічними умовами виробника цих товарів. Учасник має забезпечити обслуговування (підтримку) протягом гарантійного терміну.</w:t>
      </w:r>
    </w:p>
    <w:p w14:paraId="4F259EBB" w14:textId="77777777" w:rsidR="00AF4033" w:rsidRPr="00AF4033" w:rsidRDefault="00AF4033" w:rsidP="00AF4033">
      <w:pPr>
        <w:spacing w:after="0" w:line="240" w:lineRule="auto"/>
        <w:ind w:firstLine="567"/>
        <w:jc w:val="both"/>
        <w:rPr>
          <w:rFonts w:ascii="Times New Roman" w:hAnsi="Times New Roman" w:cs="Times New Roman"/>
          <w:color w:val="000000" w:themeColor="text1"/>
          <w:sz w:val="24"/>
          <w:szCs w:val="24"/>
        </w:rPr>
      </w:pPr>
    </w:p>
    <w:p w14:paraId="714739B5" w14:textId="77777777" w:rsidR="00AF4033" w:rsidRPr="00AF4033" w:rsidRDefault="00AF4033" w:rsidP="00AF4033">
      <w:pPr>
        <w:spacing w:after="0" w:line="240" w:lineRule="auto"/>
        <w:ind w:firstLine="567"/>
        <w:jc w:val="both"/>
        <w:rPr>
          <w:rFonts w:ascii="Times New Roman" w:hAnsi="Times New Roman" w:cs="Times New Roman"/>
          <w:color w:val="000000" w:themeColor="text1"/>
          <w:sz w:val="24"/>
          <w:szCs w:val="24"/>
          <w:lang w:eastAsia="uk-UA"/>
        </w:rPr>
      </w:pPr>
      <w:r w:rsidRPr="00AF4033">
        <w:rPr>
          <w:rFonts w:ascii="Times New Roman" w:hAnsi="Times New Roman" w:cs="Times New Roman"/>
          <w:color w:val="000000" w:themeColor="text1"/>
          <w:sz w:val="24"/>
          <w:szCs w:val="24"/>
        </w:rPr>
        <w:t>Характеристики товару повинні відповідати вимогам або бути кращими тих, які наведені в таблиці.</w:t>
      </w:r>
      <w:r w:rsidRPr="00AF4033">
        <w:rPr>
          <w:rFonts w:ascii="Times New Roman" w:hAnsi="Times New Roman" w:cs="Times New Roman"/>
          <w:color w:val="000000" w:themeColor="text1"/>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547DC36C" w14:textId="77777777" w:rsidR="00AF4033" w:rsidRPr="00AF4033" w:rsidRDefault="00AF4033" w:rsidP="00AF4033">
      <w:pPr>
        <w:spacing w:after="0" w:line="240" w:lineRule="auto"/>
        <w:ind w:firstLine="567"/>
        <w:jc w:val="both"/>
        <w:rPr>
          <w:rFonts w:ascii="Times New Roman" w:hAnsi="Times New Roman" w:cs="Times New Roman"/>
          <w:bCs/>
          <w:i/>
          <w:iCs/>
          <w:color w:val="000000" w:themeColor="text1"/>
          <w:sz w:val="24"/>
          <w:szCs w:val="24"/>
        </w:rPr>
      </w:pPr>
    </w:p>
    <w:p w14:paraId="77BEEB03" w14:textId="77777777" w:rsidR="00AF4033" w:rsidRPr="00AF4033" w:rsidRDefault="00AF4033" w:rsidP="00AF4033">
      <w:pPr>
        <w:suppressAutoHyphens/>
        <w:spacing w:after="0" w:line="240" w:lineRule="auto"/>
        <w:jc w:val="both"/>
        <w:rPr>
          <w:rFonts w:ascii="Times New Roman" w:hAnsi="Times New Roman" w:cs="Times New Roman"/>
          <w:bCs/>
          <w:iCs/>
          <w:color w:val="000000" w:themeColor="text1"/>
          <w:sz w:val="24"/>
          <w:szCs w:val="24"/>
        </w:rPr>
      </w:pPr>
      <w:r w:rsidRPr="00AF4033">
        <w:rPr>
          <w:rFonts w:ascii="Times New Roman" w:hAnsi="Times New Roman" w:cs="Times New Roman"/>
          <w:bCs/>
          <w:iCs/>
          <w:color w:val="000000" w:themeColor="text1"/>
          <w:sz w:val="24"/>
          <w:szCs w:val="24"/>
        </w:rPr>
        <w:t>Товар повинен відповідати вимогам:</w:t>
      </w:r>
    </w:p>
    <w:p w14:paraId="724AB7B1" w14:textId="77777777" w:rsidR="00AF4033" w:rsidRPr="00AF4033" w:rsidRDefault="00AF4033" w:rsidP="00AF4033">
      <w:pPr>
        <w:suppressAutoHyphens/>
        <w:spacing w:after="0" w:line="240" w:lineRule="auto"/>
        <w:ind w:firstLine="567"/>
        <w:jc w:val="both"/>
        <w:rPr>
          <w:rFonts w:ascii="Times New Roman" w:hAnsi="Times New Roman" w:cs="Times New Roman"/>
          <w:bCs/>
          <w:iCs/>
          <w:color w:val="000000" w:themeColor="text1"/>
          <w:sz w:val="24"/>
          <w:szCs w:val="24"/>
        </w:rPr>
      </w:pPr>
      <w:r w:rsidRPr="00AF4033">
        <w:rPr>
          <w:rFonts w:ascii="Times New Roman" w:hAnsi="Times New Roman" w:cs="Times New Roman"/>
          <w:bCs/>
          <w:iCs/>
          <w:color w:val="000000" w:themeColor="text1"/>
          <w:sz w:val="24"/>
          <w:szCs w:val="24"/>
        </w:rPr>
        <w:t>Закону України від 14 серпня 2014 року № 1644-VІІ «Про санкції»;</w:t>
      </w:r>
    </w:p>
    <w:p w14:paraId="3775E6D4" w14:textId="77777777" w:rsidR="00AF4033" w:rsidRPr="00AF4033" w:rsidRDefault="00AF4033" w:rsidP="00AF4033">
      <w:pPr>
        <w:suppressAutoHyphens/>
        <w:spacing w:after="0" w:line="240" w:lineRule="auto"/>
        <w:jc w:val="both"/>
        <w:rPr>
          <w:rFonts w:ascii="Times New Roman" w:hAnsi="Times New Roman" w:cs="Times New Roman"/>
          <w:bCs/>
          <w:iCs/>
          <w:color w:val="000000" w:themeColor="text1"/>
          <w:sz w:val="24"/>
          <w:szCs w:val="24"/>
        </w:rPr>
      </w:pPr>
      <w:r w:rsidRPr="00AF4033">
        <w:rPr>
          <w:rFonts w:ascii="Times New Roman" w:hAnsi="Times New Roman" w:cs="Times New Roman"/>
          <w:bCs/>
          <w:iCs/>
          <w:color w:val="000000" w:themeColor="text1"/>
          <w:sz w:val="24"/>
          <w:szCs w:val="24"/>
        </w:rPr>
        <w:t>Указу Президента України від 15 травня 2017 року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412531A6" w14:textId="77777777" w:rsidR="00AF4033" w:rsidRPr="00AF4033" w:rsidRDefault="00AF4033" w:rsidP="00AF4033">
      <w:pPr>
        <w:suppressAutoHyphens/>
        <w:spacing w:after="0" w:line="240" w:lineRule="auto"/>
        <w:jc w:val="both"/>
        <w:rPr>
          <w:rFonts w:ascii="Times New Roman" w:hAnsi="Times New Roman" w:cs="Times New Roman"/>
          <w:bCs/>
          <w:iCs/>
          <w:color w:val="000000" w:themeColor="text1"/>
          <w:sz w:val="24"/>
          <w:szCs w:val="24"/>
        </w:rPr>
      </w:pPr>
      <w:r w:rsidRPr="00AF4033">
        <w:rPr>
          <w:rFonts w:ascii="Times New Roman" w:hAnsi="Times New Roman" w:cs="Times New Roman"/>
          <w:bCs/>
          <w:iCs/>
          <w:color w:val="000000" w:themeColor="text1"/>
          <w:sz w:val="24"/>
          <w:szCs w:val="24"/>
        </w:rPr>
        <w:t xml:space="preserve">підпункту 4 пункту 2 частини першої Розпорядження Кабінету Міністрів України від 11 вересня 2014 року №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AF4033">
        <w:rPr>
          <w:rFonts w:ascii="Times New Roman" w:hAnsi="Times New Roman" w:cs="Times New Roman"/>
          <w:bCs/>
          <w:iCs/>
          <w:color w:val="000000" w:themeColor="text1"/>
          <w:sz w:val="24"/>
          <w:szCs w:val="24"/>
        </w:rPr>
        <w:t>закупівель</w:t>
      </w:r>
      <w:proofErr w:type="spellEnd"/>
      <w:r w:rsidRPr="00AF4033">
        <w:rPr>
          <w:rFonts w:ascii="Times New Roman" w:hAnsi="Times New Roman" w:cs="Times New Roman"/>
          <w:bCs/>
          <w:iCs/>
          <w:color w:val="000000" w:themeColor="text1"/>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в інших суб’єктів господарювання, що здійснюють продаж товарів, робіт і послуг походженням з Російською Федерацією, крім випадків, коли заміщення таких предметів закупівлі іншими неможливе, що підтверджено Міністерством економічного розвитку і торгівлі.</w:t>
      </w:r>
    </w:p>
    <w:p w14:paraId="4AEE96F4" w14:textId="77777777" w:rsidR="00AF4033" w:rsidRPr="00AF4033" w:rsidRDefault="00AF4033" w:rsidP="00AF4033">
      <w:pPr>
        <w:spacing w:after="0" w:line="240" w:lineRule="auto"/>
        <w:ind w:firstLine="567"/>
        <w:jc w:val="both"/>
        <w:rPr>
          <w:rFonts w:ascii="Times New Roman" w:hAnsi="Times New Roman" w:cs="Times New Roman"/>
          <w:color w:val="000000" w:themeColor="text1"/>
          <w:sz w:val="24"/>
          <w:szCs w:val="24"/>
        </w:rPr>
      </w:pPr>
      <w:r w:rsidRPr="00AF4033">
        <w:rPr>
          <w:rFonts w:ascii="Times New Roman" w:hAnsi="Times New Roman" w:cs="Times New Roman"/>
          <w:bCs/>
          <w:iCs/>
          <w:color w:val="000000" w:themeColor="text1"/>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0"/>
    <w:p w14:paraId="3E21ECD3" w14:textId="77777777" w:rsidR="00AF4033" w:rsidRPr="00AF4033" w:rsidRDefault="00AF4033" w:rsidP="00AF4033">
      <w:pPr>
        <w:spacing w:after="0" w:line="240" w:lineRule="auto"/>
        <w:rPr>
          <w:rFonts w:ascii="Times New Roman" w:hAnsi="Times New Roman" w:cs="Times New Roman"/>
          <w:color w:val="000000" w:themeColor="text1"/>
          <w:sz w:val="24"/>
          <w:szCs w:val="24"/>
        </w:rPr>
      </w:pPr>
    </w:p>
    <w:p w14:paraId="368740DB" w14:textId="77777777" w:rsidR="00AF4033" w:rsidRPr="00AF4033" w:rsidRDefault="00AF4033" w:rsidP="00AF4033">
      <w:pPr>
        <w:spacing w:after="0" w:line="240" w:lineRule="auto"/>
        <w:ind w:firstLine="567"/>
        <w:jc w:val="both"/>
        <w:rPr>
          <w:rFonts w:ascii="Times New Roman" w:hAnsi="Times New Roman" w:cs="Times New Roman"/>
          <w:color w:val="000000" w:themeColor="text1"/>
          <w:sz w:val="24"/>
          <w:szCs w:val="24"/>
        </w:rPr>
      </w:pPr>
      <w:r w:rsidRPr="00AF4033">
        <w:rPr>
          <w:rFonts w:ascii="Times New Roman" w:hAnsi="Times New Roman" w:cs="Times New Roman"/>
          <w:color w:val="000000" w:themeColor="text1"/>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7DCFE21A" w14:textId="77777777" w:rsidR="00AF4033" w:rsidRPr="00AF4033" w:rsidRDefault="00AF4033" w:rsidP="00AF4033">
      <w:pPr>
        <w:spacing w:after="0" w:line="240" w:lineRule="auto"/>
        <w:rPr>
          <w:rFonts w:ascii="Times New Roman" w:hAnsi="Times New Roman" w:cs="Times New Roman"/>
          <w:color w:val="000000" w:themeColor="text1"/>
          <w:sz w:val="24"/>
          <w:szCs w:val="24"/>
        </w:rPr>
      </w:pPr>
    </w:p>
    <w:p w14:paraId="2B2209C4" w14:textId="77777777" w:rsidR="00AF4033" w:rsidRPr="00AF4033" w:rsidRDefault="00AF4033" w:rsidP="00AF4033">
      <w:pPr>
        <w:spacing w:after="0" w:line="240" w:lineRule="auto"/>
        <w:ind w:firstLine="567"/>
        <w:jc w:val="both"/>
        <w:rPr>
          <w:rFonts w:ascii="Times New Roman" w:hAnsi="Times New Roman" w:cs="Times New Roman"/>
          <w:i/>
          <w:color w:val="000000" w:themeColor="text1"/>
          <w:sz w:val="24"/>
          <w:szCs w:val="24"/>
        </w:rPr>
      </w:pPr>
      <w:r w:rsidRPr="00AF4033">
        <w:rPr>
          <w:rFonts w:ascii="Times New Roman" w:hAnsi="Times New Roman" w:cs="Times New Roman"/>
          <w:i/>
          <w:color w:val="000000" w:themeColor="text1"/>
          <w:sz w:val="24"/>
          <w:szCs w:val="24"/>
        </w:rPr>
        <w:t>У разі, якщо у цій тендерній документації (у тому числі у технічній специфікації) міститься посилання на:</w:t>
      </w:r>
    </w:p>
    <w:p w14:paraId="53DD63AB" w14:textId="77777777" w:rsidR="00AF4033" w:rsidRPr="00AF4033" w:rsidRDefault="00AF4033" w:rsidP="00AF4033">
      <w:pPr>
        <w:spacing w:after="0" w:line="240" w:lineRule="auto"/>
        <w:ind w:firstLine="567"/>
        <w:jc w:val="both"/>
        <w:rPr>
          <w:rFonts w:ascii="Times New Roman" w:hAnsi="Times New Roman" w:cs="Times New Roman"/>
          <w:i/>
          <w:color w:val="000000" w:themeColor="text1"/>
          <w:sz w:val="24"/>
          <w:szCs w:val="24"/>
        </w:rPr>
      </w:pPr>
      <w:r w:rsidRPr="00AF4033">
        <w:rPr>
          <w:rFonts w:ascii="Times New Roman" w:hAnsi="Times New Roman" w:cs="Times New Roman"/>
          <w:i/>
          <w:color w:val="000000" w:themeColor="text1"/>
          <w:sz w:val="24"/>
          <w:szCs w:val="24"/>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F456B30" w14:textId="77777777" w:rsidR="00AF4033" w:rsidRPr="00AF4033" w:rsidRDefault="00AF4033" w:rsidP="00AF4033">
      <w:pPr>
        <w:spacing w:after="0" w:line="240" w:lineRule="auto"/>
        <w:ind w:firstLine="567"/>
        <w:jc w:val="both"/>
        <w:rPr>
          <w:rFonts w:ascii="Times New Roman" w:hAnsi="Times New Roman" w:cs="Times New Roman"/>
          <w:i/>
          <w:color w:val="000000" w:themeColor="text1"/>
          <w:sz w:val="24"/>
          <w:szCs w:val="24"/>
        </w:rPr>
      </w:pPr>
      <w:r w:rsidRPr="00AF4033">
        <w:rPr>
          <w:rFonts w:ascii="Times New Roman" w:hAnsi="Times New Roman" w:cs="Times New Roman"/>
          <w:i/>
          <w:color w:val="000000" w:themeColor="text1"/>
          <w:sz w:val="24"/>
          <w:szCs w:val="24"/>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4A3DD4CF" w14:textId="552E08FF" w:rsidR="00AF4033" w:rsidRPr="00AF4033" w:rsidRDefault="00AF4033" w:rsidP="00AF4033">
      <w:pPr>
        <w:spacing w:after="0" w:line="240" w:lineRule="auto"/>
        <w:ind w:firstLine="567"/>
        <w:jc w:val="both"/>
        <w:rPr>
          <w:rFonts w:ascii="Times New Roman" w:hAnsi="Times New Roman" w:cs="Times New Roman"/>
          <w:bCs/>
          <w:i/>
          <w:iCs/>
          <w:color w:val="000000" w:themeColor="text1"/>
          <w:sz w:val="24"/>
          <w:szCs w:val="24"/>
        </w:rPr>
      </w:pPr>
      <w:r w:rsidRPr="00AF4033">
        <w:rPr>
          <w:rFonts w:ascii="Times New Roman" w:hAnsi="Times New Roman" w:cs="Times New Roman"/>
          <w:bCs/>
          <w:i/>
          <w:iCs/>
          <w:color w:val="000000" w:themeColor="text1"/>
          <w:sz w:val="24"/>
          <w:szCs w:val="24"/>
        </w:rPr>
        <w:t>У випадку надання учасником еквіваленту він має надати порівняльну таблицю запропонованих товарів із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кращими, ніж визначені Замовником.</w:t>
      </w:r>
    </w:p>
    <w:p w14:paraId="40CF78B9" w14:textId="77777777" w:rsidR="00AF4033" w:rsidRPr="002F7B4B" w:rsidRDefault="00AF4033" w:rsidP="00AF4033">
      <w:pPr>
        <w:spacing w:after="0" w:line="240" w:lineRule="auto"/>
        <w:ind w:firstLine="567"/>
        <w:jc w:val="both"/>
        <w:rPr>
          <w:rFonts w:ascii="Times New Roman" w:hAnsi="Times New Roman" w:cs="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lastRenderedPageBreak/>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3AE1BD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AF4033">
        <w:rPr>
          <w:rFonts w:ascii="Times New Roman" w:eastAsia="Times New Roman" w:hAnsi="Times New Roman" w:cs="Times New Roman"/>
          <w:sz w:val="24"/>
          <w:szCs w:val="24"/>
          <w:lang w:eastAsia="ru-RU"/>
        </w:rPr>
        <w:t>49 720</w:t>
      </w:r>
      <w:r w:rsidR="002F7B4B">
        <w:rPr>
          <w:rFonts w:ascii="Times New Roman" w:eastAsia="Times New Roman" w:hAnsi="Times New Roman" w:cs="Times New Roman"/>
          <w:sz w:val="24"/>
          <w:szCs w:val="24"/>
          <w:lang w:eastAsia="ru-RU"/>
        </w:rPr>
        <w:t>,00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AF4033">
        <w:rPr>
          <w:rFonts w:ascii="Times New Roman" w:eastAsia="Times New Roman" w:hAnsi="Times New Roman" w:cs="Times New Roman"/>
          <w:sz w:val="24"/>
          <w:szCs w:val="24"/>
          <w:lang w:eastAsia="ru-RU"/>
        </w:rPr>
        <w:t>сорок дев’ять тисяч сімсот двадцять</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4C55FA23"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r w:rsidR="00AF4033">
        <w:rPr>
          <w:rFonts w:ascii="Times New Roman" w:eastAsia="Times New Roman" w:hAnsi="Times New Roman" w:cs="Times New Roman"/>
          <w:sz w:val="24"/>
          <w:szCs w:val="24"/>
          <w:lang w:eastAsia="ru-RU"/>
        </w:rPr>
        <w:t xml:space="preserve"> з урахуванням наказу ДУ ЦІТ МВС України від 10.07.2025 № 300.</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4"/>
  </w:num>
  <w:num w:numId="16" w16cid:durableId="1185944727">
    <w:abstractNumId w:val="0"/>
  </w:num>
  <w:num w:numId="17" w16cid:durableId="177702027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76440"/>
    <w:rsid w:val="002924C8"/>
    <w:rsid w:val="00295ECA"/>
    <w:rsid w:val="002D01D5"/>
    <w:rsid w:val="002D4BAA"/>
    <w:rsid w:val="002F7B4B"/>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6AB0"/>
    <w:rsid w:val="007B112D"/>
    <w:rsid w:val="007C71D4"/>
    <w:rsid w:val="007E7B59"/>
    <w:rsid w:val="008016BE"/>
    <w:rsid w:val="00811CA9"/>
    <w:rsid w:val="00835C9C"/>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AF4033"/>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65313"/>
    <w:rsid w:val="00C6694F"/>
    <w:rsid w:val="00C66F3C"/>
    <w:rsid w:val="00C92558"/>
    <w:rsid w:val="00CC015E"/>
    <w:rsid w:val="00CC0C05"/>
    <w:rsid w:val="00CD0EC0"/>
    <w:rsid w:val="00CD210E"/>
    <w:rsid w:val="00CD40DE"/>
    <w:rsid w:val="00CF3B29"/>
    <w:rsid w:val="00D13D9F"/>
    <w:rsid w:val="00D274F4"/>
    <w:rsid w:val="00D42EB8"/>
    <w:rsid w:val="00D66E58"/>
    <w:rsid w:val="00D824DB"/>
    <w:rsid w:val="00D828A4"/>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Pages>
  <Words>1143</Words>
  <Characters>7755</Characters>
  <Application>Microsoft Office Word</Application>
  <DocSecurity>0</DocSecurity>
  <Lines>221</Lines>
  <Paragraphs>127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209</cp:revision>
  <dcterms:created xsi:type="dcterms:W3CDTF">2022-11-01T12:47:00Z</dcterms:created>
  <dcterms:modified xsi:type="dcterms:W3CDTF">2025-09-25T09:20:00Z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