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bookmarkStart w:id="0" w:name="_Hlk163736934"/>
      <w:r>
        <w:rPr>
          <w:b w:val="false"/>
          <w:bCs w:val="false"/>
          <w:sz w:val="24"/>
          <w:szCs w:val="24"/>
        </w:rPr>
        <w:t xml:space="preserve">Закупівля серверного апаратно-програмного комплексу для побудови гіперконвергентного рішення Nutanix Cloud Infrastructure на базі серверного обладнання Lenovo ThinkAgile HX650 V3 (або аналог) </w:t>
      </w:r>
      <w:r>
        <w:rPr>
          <w:b w:val="false"/>
          <w:sz w:val="24"/>
          <w:szCs w:val="24"/>
        </w:rPr>
        <w:t>м. Льві</w:t>
      </w:r>
      <w:r>
        <w:rPr>
          <w:bCs w:val="false"/>
          <w:sz w:val="24"/>
          <w:szCs w:val="24"/>
        </w:rPr>
        <w:t>в</w:t>
      </w:r>
      <w:r>
        <w:rPr>
          <w:b w:val="false"/>
          <w:bCs w:val="false"/>
          <w:sz w:val="24"/>
          <w:szCs w:val="24"/>
        </w:rPr>
        <w:t xml:space="preserve"> за ДК 021:2015: </w:t>
      </w:r>
      <w:bookmarkEnd w:id="0"/>
      <w:r>
        <w:rPr>
          <w:b w:val="false"/>
          <w:bCs w:val="false"/>
          <w:sz w:val="24"/>
          <w:szCs w:val="24"/>
        </w:rPr>
        <w:t>48820000-2 Сервери</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UA-2024-09-05-012193-а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bCs/>
          <w:sz w:val="24"/>
          <w:szCs w:val="24"/>
        </w:rPr>
        <w:t>Закупівля серверного апаратно-програмного комплексу для побудови гіперконвергентного рішення Nutanix Cloud Infrastructure на базі серверного обладнання Lenovo ThinkAgile HX650 V3 (або аналог) м. Львів за ДК 021:2015: 48820000-2 Сервери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1"/>
        <w:gridCol w:w="5671"/>
        <w:gridCol w:w="1700"/>
        <w:gridCol w:w="1701"/>
      </w:tblGrid>
      <w:tr>
        <w:trPr/>
        <w:tc>
          <w:tcPr>
            <w:tcW w:w="561" w:type="dxa"/>
            <w:tcBorders/>
          </w:tcPr>
          <w:p>
            <w:pPr>
              <w:pStyle w:val="NormalWeb"/>
              <w:widowControl/>
              <w:spacing w:lineRule="auto" w:line="240" w:before="0" w:after="0"/>
              <w:jc w:val="center"/>
              <w:rPr>
                <w:b/>
                <w:b/>
                <w:bCs/>
              </w:rPr>
            </w:pPr>
            <w:r>
              <w:rPr>
                <w:rFonts w:eastAsia="Calibri"/>
                <w:b/>
                <w:bCs/>
                <w:kern w:val="0"/>
                <w:lang w:eastAsia="en-US" w:bidi="ar-SA"/>
              </w:rPr>
              <w:t xml:space="preserve">№ </w:t>
            </w:r>
            <w:r>
              <w:rPr>
                <w:rFonts w:eastAsia="Calibri"/>
                <w:b/>
                <w:bCs/>
                <w:kern w:val="0"/>
                <w:lang w:eastAsia="en-US" w:bidi="ar-SA"/>
              </w:rPr>
              <w:t>п/п</w:t>
            </w:r>
          </w:p>
        </w:tc>
        <w:tc>
          <w:tcPr>
            <w:tcW w:w="5671" w:type="dxa"/>
            <w:tcBorders/>
          </w:tcPr>
          <w:p>
            <w:pPr>
              <w:pStyle w:val="NormalWeb"/>
              <w:widowControl/>
              <w:spacing w:lineRule="auto" w:line="240" w:before="0" w:after="0"/>
              <w:jc w:val="center"/>
              <w:rPr>
                <w:b/>
                <w:b/>
                <w:bCs/>
              </w:rPr>
            </w:pPr>
            <w:r>
              <w:rPr>
                <w:rFonts w:eastAsia="Calibri"/>
                <w:b/>
                <w:bCs/>
                <w:kern w:val="0"/>
                <w:lang w:eastAsia="en-US" w:bidi="ar-SA"/>
              </w:rPr>
              <w:t>Назва системи</w:t>
            </w:r>
          </w:p>
        </w:tc>
        <w:tc>
          <w:tcPr>
            <w:tcW w:w="1700" w:type="dxa"/>
            <w:tcBorders/>
          </w:tcPr>
          <w:p>
            <w:pPr>
              <w:pStyle w:val="NormalWeb"/>
              <w:widowControl/>
              <w:spacing w:lineRule="auto" w:line="240" w:before="0" w:after="0"/>
              <w:jc w:val="center"/>
              <w:rPr>
                <w:b/>
                <w:b/>
                <w:bCs/>
              </w:rPr>
            </w:pPr>
            <w:r>
              <w:rPr>
                <w:rFonts w:eastAsia="Calibri"/>
                <w:b/>
                <w:bCs/>
                <w:kern w:val="0"/>
                <w:lang w:eastAsia="en-US" w:bidi="ar-SA"/>
              </w:rPr>
              <w:t>Одиниця виміру</w:t>
            </w:r>
          </w:p>
        </w:tc>
        <w:tc>
          <w:tcPr>
            <w:tcW w:w="1701" w:type="dxa"/>
            <w:tcBorders/>
          </w:tcPr>
          <w:p>
            <w:pPr>
              <w:pStyle w:val="NormalWeb"/>
              <w:widowControl/>
              <w:spacing w:lineRule="auto" w:line="240" w:before="0" w:after="0"/>
              <w:jc w:val="center"/>
              <w:rPr>
                <w:b/>
                <w:b/>
                <w:bCs/>
              </w:rPr>
            </w:pPr>
            <w:r>
              <w:rPr>
                <w:rFonts w:eastAsia="Calibri"/>
                <w:b/>
                <w:bCs/>
                <w:kern w:val="0"/>
                <w:lang w:eastAsia="en-US" w:bidi="ar-SA"/>
              </w:rPr>
              <w:t>Кількість</w:t>
            </w:r>
          </w:p>
        </w:tc>
      </w:tr>
      <w:tr>
        <w:trPr/>
        <w:tc>
          <w:tcPr>
            <w:tcW w:w="561" w:type="dxa"/>
            <w:tcBorders/>
            <w:vAlign w:val="center"/>
          </w:tcPr>
          <w:p>
            <w:pPr>
              <w:pStyle w:val="NormalWeb"/>
              <w:widowControl/>
              <w:spacing w:lineRule="auto" w:line="240" w:before="0" w:after="0"/>
              <w:jc w:val="center"/>
              <w:rPr>
                <w:b/>
                <w:b/>
                <w:bCs/>
              </w:rPr>
            </w:pPr>
            <w:r>
              <w:rPr>
                <w:rFonts w:eastAsia="Calibri"/>
                <w:b/>
                <w:bCs/>
                <w:kern w:val="0"/>
                <w:lang w:eastAsia="en-US" w:bidi="ar-SA"/>
              </w:rPr>
              <w:t>1</w:t>
            </w:r>
          </w:p>
        </w:tc>
        <w:tc>
          <w:tcPr>
            <w:tcW w:w="5671" w:type="dxa"/>
            <w:tcBorders/>
            <w:vAlign w:val="center"/>
          </w:tcPr>
          <w:p>
            <w:pPr>
              <w:pStyle w:val="NormalWeb"/>
              <w:widowControl/>
              <w:spacing w:lineRule="auto" w:line="240" w:before="0" w:after="0"/>
              <w:jc w:val="left"/>
              <w:rPr>
                <w:b/>
                <w:b/>
                <w:bCs/>
              </w:rPr>
            </w:pPr>
            <w:r>
              <w:rPr>
                <w:rFonts w:eastAsia="Calibri"/>
                <w:b/>
                <w:kern w:val="0"/>
                <w:lang w:eastAsia="en-US" w:bidi="ar-SA"/>
              </w:rPr>
              <w:t xml:space="preserve">Серверний апаратно-програмний комплекс для побудови гіперконвергентного рішення Nutanix Cloud Infrastructure на базі серверного обладнання Lenovo ThinkAgile HX650 V3 </w:t>
            </w:r>
          </w:p>
        </w:tc>
        <w:tc>
          <w:tcPr>
            <w:tcW w:w="1700" w:type="dxa"/>
            <w:tcBorders/>
            <w:vAlign w:val="center"/>
          </w:tcPr>
          <w:p>
            <w:pPr>
              <w:pStyle w:val="NormalWeb"/>
              <w:widowControl/>
              <w:spacing w:lineRule="auto" w:line="240" w:before="0" w:after="0"/>
              <w:jc w:val="center"/>
              <w:rPr>
                <w:b/>
                <w:b/>
                <w:bCs/>
              </w:rPr>
            </w:pPr>
            <w:r>
              <w:rPr>
                <w:rFonts w:eastAsia="Calibri"/>
                <w:b/>
                <w:bCs/>
                <w:kern w:val="0"/>
                <w:lang w:eastAsia="en-US" w:bidi="ar-SA"/>
              </w:rPr>
              <w:t>компл.</w:t>
            </w:r>
          </w:p>
        </w:tc>
        <w:tc>
          <w:tcPr>
            <w:tcW w:w="1701" w:type="dxa"/>
            <w:tcBorders/>
            <w:vAlign w:val="center"/>
          </w:tcPr>
          <w:p>
            <w:pPr>
              <w:pStyle w:val="NormalWeb"/>
              <w:widowControl/>
              <w:spacing w:lineRule="auto" w:line="240" w:before="0" w:after="0"/>
              <w:jc w:val="center"/>
              <w:rPr>
                <w:b/>
                <w:b/>
                <w:bCs/>
              </w:rPr>
            </w:pPr>
            <w:r>
              <w:rPr>
                <w:rFonts w:eastAsia="Calibri"/>
                <w:b/>
                <w:bCs/>
                <w:kern w:val="0"/>
                <w:lang w:eastAsia="en-US" w:bidi="ar-SA"/>
              </w:rPr>
              <w:t>1</w:t>
            </w:r>
          </w:p>
        </w:tc>
      </w:tr>
    </w:tbl>
    <w:p>
      <w:pPr>
        <w:pStyle w:val="NormalWeb"/>
        <w:spacing w:lineRule="auto" w:line="240" w:before="0" w:after="0"/>
        <w:jc w:val="both"/>
        <w:rPr>
          <w:b/>
          <w:b/>
          <w:bCs/>
          <w:i/>
          <w:i/>
          <w:iCs/>
          <w:lang w:eastAsia="ru-RU"/>
        </w:rPr>
      </w:pPr>
      <w:r>
        <w:rPr>
          <w:b/>
          <w:bCs/>
          <w:i/>
          <w:iCs/>
          <w:lang w:eastAsia="ru-RU"/>
        </w:rPr>
      </w:r>
    </w:p>
    <w:p>
      <w:pPr>
        <w:pStyle w:val="NormalWeb"/>
        <w:spacing w:lineRule="auto" w:line="240" w:before="0" w:after="0"/>
        <w:jc w:val="both"/>
        <w:rPr>
          <w:b/>
          <w:b/>
          <w:bCs/>
          <w:i/>
          <w:i/>
          <w:iCs/>
          <w:lang w:eastAsia="ru-RU"/>
        </w:rPr>
      </w:pPr>
      <w:r>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pPr>
        <w:pStyle w:val="NormalWeb"/>
        <w:spacing w:lineRule="auto" w:line="240" w:before="0" w:after="0"/>
        <w:jc w:val="both"/>
        <w:rPr>
          <w:b/>
          <w:b/>
          <w:bCs/>
          <w:i/>
          <w:i/>
          <w:iCs/>
          <w:lang w:eastAsia="ru-RU"/>
        </w:rPr>
      </w:pPr>
      <w:r>
        <w:rPr>
          <w:b/>
          <w:bCs/>
          <w:i/>
          <w:iCs/>
          <w:lang w:eastAsia="ru-RU"/>
        </w:rPr>
      </w:r>
    </w:p>
    <w:p>
      <w:pPr>
        <w:pStyle w:val="Normal"/>
        <w:spacing w:lineRule="auto" w:line="240" w:before="0" w:after="0"/>
        <w:ind w:firstLine="567"/>
        <w:jc w:val="both"/>
        <w:rPr>
          <w:rFonts w:ascii="Times New Roman" w:hAnsi="Times New Roman" w:cs="Times New Roman"/>
          <w:sz w:val="24"/>
          <w:szCs w:val="24"/>
          <w:lang w:eastAsia="uk-UA"/>
        </w:rPr>
      </w:pPr>
      <w:r>
        <w:rPr>
          <w:rFonts w:cs="Times New Roman" w:ascii="Times New Roman" w:hAnsi="Times New Roman"/>
          <w:color w:val="000000"/>
          <w:sz w:val="24"/>
          <w:szCs w:val="24"/>
        </w:rPr>
        <w:t>Характеристики товару повинні відповідати вимогам або бути кращими тих, які наведені в таблиці.</w:t>
      </w:r>
      <w:r>
        <w:rPr>
          <w:rFonts w:cs="Times New Roman" w:ascii="Times New Roman" w:hAnsi="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pPr>
        <w:pStyle w:val="Normal"/>
        <w:spacing w:lineRule="auto" w:line="240" w:before="0" w:after="0"/>
        <w:jc w:val="both"/>
        <w:rPr>
          <w:rFonts w:ascii="Times New Roman" w:hAnsi="Times New Roman" w:cs="Times New Roman"/>
          <w:sz w:val="24"/>
          <w:szCs w:val="24"/>
          <w:lang w:eastAsia="uk-UA"/>
        </w:rPr>
      </w:pPr>
      <w:r>
        <w:rPr>
          <w:rFonts w:cs="Times New Roman" w:ascii="Times New Roman" w:hAnsi="Times New Roman"/>
          <w:sz w:val="24"/>
          <w:szCs w:val="24"/>
          <w:lang w:eastAsia="uk-UA"/>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pPr>
        <w:pStyle w:val="Normal"/>
        <w:spacing w:lineRule="auto" w:line="240" w:before="0" w:after="0"/>
        <w:jc w:val="both"/>
        <w:rPr>
          <w:rFonts w:ascii="Times New Roman" w:hAnsi="Times New Roman" w:cs="Times New Roman"/>
          <w:sz w:val="24"/>
          <w:szCs w:val="24"/>
          <w:lang w:eastAsia="ar-SA"/>
        </w:rPr>
      </w:pPr>
      <w:r>
        <w:rPr>
          <w:rFonts w:eastAsia="Calibri" w:cs="Times New Roman" w:ascii="Times New Roman" w:hAnsi="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cs="Times New Roman" w:ascii="Times New Roman" w:hAnsi="Times New Roman"/>
          <w:sz w:val="24"/>
          <w:szCs w:val="24"/>
          <w:lang w:eastAsia="ar-SA"/>
        </w:rPr>
        <w:t xml:space="preserve">Учасник повинен забезпечити обслуговування (підтримку) протягом гарантійного терміну. </w:t>
      </w:r>
    </w:p>
    <w:p>
      <w:pPr>
        <w:pStyle w:val="NoSpacing"/>
        <w:jc w:val="both"/>
        <w:rPr>
          <w:rStyle w:val="T23"/>
          <w:sz w:val="24"/>
          <w:szCs w:val="24"/>
        </w:rPr>
      </w:pPr>
      <w:r>
        <w:rPr>
          <w:sz w:val="24"/>
          <w:szCs w:val="24"/>
        </w:rPr>
      </w:r>
    </w:p>
    <w:p>
      <w:pPr>
        <w:pStyle w:val="Normal"/>
        <w:spacing w:lineRule="auto" w:line="240" w:before="0" w:after="0"/>
        <w:ind w:left="14" w:firstLine="538"/>
        <w:jc w:val="both"/>
        <w:rPr>
          <w:rFonts w:ascii="Times New Roman" w:hAnsi="Times New Roman" w:cs="Times New Roman"/>
          <w:sz w:val="24"/>
          <w:szCs w:val="24"/>
          <w:lang w:eastAsia="ar-SA"/>
        </w:rPr>
      </w:pPr>
      <w:r>
        <w:rPr>
          <w:rFonts w:cs="Times New Roman" w:ascii="Times New Roman" w:hAnsi="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r>
    </w:p>
    <w:p>
      <w:pPr>
        <w:pStyle w:val="Normal"/>
        <w:spacing w:lineRule="auto" w:line="240" w:before="0" w:after="0"/>
        <w:ind w:left="14" w:firstLine="538"/>
        <w:contextualSpacing/>
        <w:jc w:val="center"/>
        <w:rPr>
          <w:rFonts w:ascii="Times New Roman" w:hAnsi="Times New Roman" w:cs="Times New Roman"/>
          <w:b/>
          <w:b/>
          <w:bCs/>
          <w:sz w:val="24"/>
          <w:szCs w:val="24"/>
          <w:lang w:eastAsia="ar-SA"/>
        </w:rPr>
      </w:pPr>
      <w:r>
        <w:rPr>
          <w:rFonts w:cs="Times New Roman" w:ascii="Times New Roman" w:hAnsi="Times New Roman"/>
          <w:b/>
          <w:bCs/>
          <w:sz w:val="24"/>
          <w:szCs w:val="24"/>
          <w:lang w:eastAsia="ar-SA"/>
        </w:rPr>
        <w:t>Таблиця відповідності</w:t>
      </w:r>
    </w:p>
    <w:p>
      <w:pPr>
        <w:pStyle w:val="Normal"/>
        <w:spacing w:lineRule="auto" w:line="240" w:before="0" w:after="0"/>
        <w:contextualSpacing/>
        <w:rPr>
          <w:rFonts w:ascii="Times New Roman" w:hAnsi="Times New Roman" w:cs="Times New Roman"/>
          <w:sz w:val="24"/>
          <w:szCs w:val="24"/>
          <w:lang w:eastAsia="ar-SA"/>
        </w:rPr>
      </w:pPr>
      <w:r>
        <w:rPr>
          <w:rFonts w:cs="Times New Roman" w:ascii="Times New Roman" w:hAnsi="Times New Roman"/>
          <w:sz w:val="24"/>
          <w:szCs w:val="24"/>
          <w:lang w:eastAsia="ar-SA"/>
        </w:rPr>
      </w:r>
    </w:p>
    <w:tbl>
      <w:tblPr>
        <w:tblpPr w:vertAnchor="text" w:horzAnchor="margin" w:leftFromText="180" w:rightFromText="180" w:tblpX="0" w:tblpY="-62"/>
        <w:tblW w:w="1003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97"/>
        <w:gridCol w:w="2928"/>
        <w:gridCol w:w="3162"/>
        <w:gridCol w:w="2943"/>
      </w:tblGrid>
      <w:tr>
        <w:trPr/>
        <w:tc>
          <w:tcPr>
            <w:tcW w:w="9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 xml:space="preserve">№ </w:t>
            </w:r>
            <w:r>
              <w:rPr>
                <w:rFonts w:cs="Times New Roman" w:ascii="Times New Roman" w:hAnsi="Times New Roman"/>
                <w:bCs/>
                <w:sz w:val="24"/>
                <w:szCs w:val="24"/>
                <w:lang w:eastAsia="ar-SA"/>
              </w:rPr>
              <w:t>з/п</w:t>
            </w:r>
          </w:p>
        </w:tc>
        <w:tc>
          <w:tcPr>
            <w:tcW w:w="2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bCs/>
                <w:sz w:val="24"/>
                <w:szCs w:val="24"/>
                <w:lang w:eastAsia="ar-SA"/>
              </w:rPr>
            </w:pPr>
            <w:r>
              <w:rPr>
                <w:rFonts w:cs="Times New Roman" w:ascii="Times New Roman" w:hAnsi="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4" w:firstLine="538"/>
              <w:contextualSpacing/>
              <w:jc w:val="center"/>
              <w:rPr>
                <w:rFonts w:ascii="Times New Roman" w:hAnsi="Times New Roman" w:cs="Times New Roman"/>
                <w:sz w:val="24"/>
                <w:szCs w:val="24"/>
                <w:lang w:eastAsia="ar-SA"/>
              </w:rPr>
            </w:pPr>
            <w:r>
              <w:rPr>
                <w:rFonts w:cs="Times New Roman" w:ascii="Times New Roman" w:hAnsi="Times New Roman"/>
                <w:bCs/>
                <w:sz w:val="24"/>
                <w:szCs w:val="24"/>
                <w:lang w:eastAsia="ar-SA"/>
              </w:rPr>
              <w:t>Опис технічних вимог, які  пропонуються Учасником</w:t>
            </w:r>
          </w:p>
        </w:tc>
      </w:tr>
    </w:tbl>
    <w:p>
      <w:pPr>
        <w:pStyle w:val="Normal"/>
        <w:spacing w:lineRule="auto" w:line="240" w:before="0" w:after="0"/>
        <w:ind w:firstLine="263"/>
        <w:jc w:val="both"/>
        <w:rPr>
          <w:rFonts w:ascii="Times New Roman" w:hAnsi="Times New Roman" w:cs="Times New Roman"/>
          <w:bCs/>
          <w:iCs/>
          <w:sz w:val="24"/>
          <w:szCs w:val="24"/>
        </w:rPr>
      </w:pPr>
      <w:r/>
      <w:r>
        <w:rPr>
          <w:rFonts w:cs="Times New Roman" w:ascii="Times New Roman" w:hAnsi="Times New Roman"/>
          <w:bCs/>
          <w:iCs/>
          <w:sz w:val="24"/>
          <w:szCs w:val="24"/>
        </w:rPr>
        <w:t>Товар повинен відповідати вимогам:</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Закону України від 14.08.2014р. № 1644-VІІ «Про санкції»,</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pPr>
        <w:pStyle w:val="Normal"/>
        <w:spacing w:lineRule="auto" w:line="240" w:before="0" w:after="0"/>
        <w:ind w:firstLine="263"/>
        <w:jc w:val="both"/>
        <w:rPr>
          <w:rFonts w:ascii="Times New Roman" w:hAnsi="Times New Roman" w:cs="Times New Roman"/>
          <w:bCs/>
          <w:iCs/>
          <w:sz w:val="24"/>
          <w:szCs w:val="24"/>
        </w:rPr>
      </w:pPr>
      <w:r>
        <w:rPr>
          <w:rFonts w:cs="Times New Roman" w:ascii="Times New Roman" w:hAnsi="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pPr>
        <w:pStyle w:val="Normal"/>
        <w:spacing w:lineRule="auto" w:line="240" w:before="0" w:after="0"/>
        <w:ind w:firstLine="263"/>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ТЕХНІЧНІ ВИМОГИ</w:t>
      </w:r>
    </w:p>
    <w:p>
      <w:pPr>
        <w:pStyle w:val="Normal"/>
        <w:spacing w:lineRule="auto" w:line="240" w:before="0" w:after="0"/>
        <w:ind w:left="-284" w:hanging="0"/>
        <w:jc w:val="center"/>
        <w:rPr>
          <w:rFonts w:ascii="Times New Roman" w:hAnsi="Times New Roman" w:cs="Times New Roman"/>
          <w:bCs/>
          <w:sz w:val="24"/>
          <w:szCs w:val="24"/>
        </w:rPr>
      </w:pPr>
      <w:r>
        <w:rPr>
          <w:rFonts w:cs="Times New Roman" w:ascii="Times New Roman" w:hAnsi="Times New Roman"/>
          <w:bCs/>
          <w:sz w:val="24"/>
          <w:szCs w:val="24"/>
        </w:rPr>
      </w:r>
    </w:p>
    <w:tbl>
      <w:tblPr>
        <w:tblW w:w="9640" w:type="dxa"/>
        <w:jc w:val="left"/>
        <w:tblInd w:w="-147" w:type="dxa"/>
        <w:tblLayout w:type="fixed"/>
        <w:tblCellMar>
          <w:top w:w="0" w:type="dxa"/>
          <w:left w:w="108" w:type="dxa"/>
          <w:bottom w:w="0" w:type="dxa"/>
          <w:right w:w="108" w:type="dxa"/>
        </w:tblCellMar>
        <w:tblLook w:val="0400" w:noHBand="0" w:noVBand="1" w:firstColumn="0" w:lastRow="0" w:lastColumn="0" w:firstRow="0"/>
      </w:tblPr>
      <w:tblGrid>
        <w:gridCol w:w="708"/>
        <w:gridCol w:w="1702"/>
        <w:gridCol w:w="4344"/>
        <w:gridCol w:w="1409"/>
        <w:gridCol w:w="1476"/>
      </w:tblGrid>
      <w:tr>
        <w:trPr/>
        <w:tc>
          <w:tcPr>
            <w:tcW w:w="70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з/п</w:t>
            </w:r>
          </w:p>
        </w:tc>
        <w:tc>
          <w:tcPr>
            <w:tcW w:w="6046"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Найменування обладнання, технічні характеристики та вимоги до обладнання</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Одиниця виміру</w:t>
            </w:r>
          </w:p>
        </w:tc>
        <w:tc>
          <w:tcPr>
            <w:tcW w:w="147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Кількість</w:t>
            </w:r>
          </w:p>
        </w:tc>
      </w:tr>
      <w:tr>
        <w:trPr/>
        <w:tc>
          <w:tcPr>
            <w:tcW w:w="70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w:t>
            </w:r>
          </w:p>
        </w:tc>
        <w:tc>
          <w:tcPr>
            <w:tcW w:w="6046"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2</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3</w:t>
            </w:r>
          </w:p>
        </w:tc>
        <w:tc>
          <w:tcPr>
            <w:tcW w:w="147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4</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w:t>
            </w:r>
          </w:p>
        </w:tc>
        <w:tc>
          <w:tcPr>
            <w:tcW w:w="604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b/>
                <w:b/>
                <w:bCs/>
                <w:i/>
                <w:i/>
                <w:sz w:val="24"/>
                <w:szCs w:val="24"/>
              </w:rPr>
            </w:pPr>
            <w:r>
              <w:rPr>
                <w:rFonts w:cs="Times New Roman" w:ascii="Times New Roman" w:hAnsi="Times New Roman"/>
                <w:b/>
                <w:sz w:val="24"/>
                <w:szCs w:val="24"/>
              </w:rPr>
              <w:t>Серверний апаратно-програмний комплекс для побудови гіперконвергентного рішення Nutanix Cloud Infrastructure на базі серверного обладнання Lenovo ThinkAgile HX650 V3</w:t>
            </w:r>
            <w:r>
              <w:rPr>
                <w:rFonts w:cs="Times New Roman" w:ascii="Times New Roman" w:hAnsi="Times New Roman"/>
                <w:b/>
                <w:bCs/>
                <w:sz w:val="24"/>
                <w:szCs w:val="24"/>
              </w:rPr>
              <w:t xml:space="preserve"> (або аналог)</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комплект</w:t>
            </w:r>
          </w:p>
        </w:tc>
        <w:tc>
          <w:tcPr>
            <w:tcW w:w="1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1</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sz w:val="24"/>
                <w:szCs w:val="24"/>
              </w:rPr>
              <w:t>Форм-фактор:</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Сервер для інсталяції в 19" стандартну шафу</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Висота не більше 2U</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Процесор:</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кількість процесорів не менш ніж 2;</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базова частота не нижче 2,9 GHz;</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кількість ядер не менше ніж 8;</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не менше 22.5 МБ кеш-пам'яті третього рівня;</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енергоспоживання не більше 150 Вт;</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підтримка технології віртуалізації Intel VT-x.</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1.3</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Пам’ять:</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Встановлено не менше 512 GB пам'яті типу DDR5-4800.</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 xml:space="preserve">Підтримка механізму корекції помилок ECC, SDDC, ADDDC, memory mirroring, memory rank sparing, patrol scrubbing, demand scrubbing; </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Можливість встановлення пам’яті типу 3DS RDIMM.</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1.4</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Мережевий інтерфейс:</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Не менше чотирьох (4) Ethernet портів не гірше ніж 10/25Гб/с, SFP28;</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Мережева карта не повинна займати стандартний PCI-e слот;</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Не менше чотирьох (4) трансиверів 10G/25G SR SFP28 у комплекті.</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1.5</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Дискова підсистема:</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Встановлено не менше шести (6) накопичувачів SSD обсягом не менше 3.84ТБ кожен стандарту SATA Mixed Use;</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 xml:space="preserve">Наявність контролеру SAS/SATA PCIe Gen4 12Gb для підключення наявних дисків; </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Можливість встановлення не менше 16 накопичувачів форм-фактору 2.5 дюймів hot-swap, з можливістю подальшого розширення щонайменше до 24 накопичувачів;</w:t>
            </w:r>
          </w:p>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Не менш двох (2) M.2 дисків NVMe PCIe 4.0 x4 SSD ємністю не менше 960GB кожен;</w:t>
            </w:r>
          </w:p>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*з міркувань безпеки всі накопичувачі повинні поставлятися з послугою, яка дозволяє клієнту зберігати несправні диски та не повертати їх виробнику; </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1.6</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 xml:space="preserve">Підтримка </w:t>
            </w:r>
            <w:r>
              <w:rPr>
                <w:rFonts w:cs="Times New Roman" w:ascii="Times New Roman" w:hAnsi="Times New Roman"/>
                <w:sz w:val="24"/>
                <w:szCs w:val="24"/>
                <w:lang w:val="en-US"/>
              </w:rPr>
              <w:t>GPU</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Підтримка встановлення не менше восьми (8) GPU карт</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lang w:val="en-US"/>
              </w:rPr>
            </w:pPr>
            <w:r>
              <w:rPr>
                <w:rFonts w:cs="Times New Roman" w:ascii="Times New Roman" w:hAnsi="Times New Roman"/>
                <w:sz w:val="24"/>
                <w:szCs w:val="24"/>
              </w:rPr>
              <w:t>1.</w:t>
            </w:r>
            <w:r>
              <w:rPr>
                <w:rFonts w:cs="Times New Roman" w:ascii="Times New Roman" w:hAnsi="Times New Roman"/>
                <w:sz w:val="24"/>
                <w:szCs w:val="24"/>
                <w:lang w:val="en-US"/>
              </w:rPr>
              <w:t>7</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Живлення:</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Не менше двох блоків живлення з класом ефективності не гірше Titanium, та не менш 1800Вт потужності з підтримкою «гарячої» заміни, з усіма встановленими компонентами  та два кабелі  живлення довжиною не менше 2-х метрів С13-С14.</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1.8</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Додаткове обладнання:</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Наявність у комплекті телескопічних рейок для встановлення у серверну шафу.</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1.9</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Функціональні вимоги:</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Повинен мати систему прогнозування збоїв компонентів серверного вузла: процесори та/або пам'ять та/або жорсткі диски та/або SSD накопичувачі та/або блоки живлення та/або вентилятори та/або дискові контролери.</w:t>
            </w:r>
          </w:p>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Наявність системи віддаленого керування сервером, яка повинна поставлятися разом з сервером; бути незалежною від встановленої операційної систем.</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1.10</w:t>
            </w:r>
          </w:p>
        </w:tc>
        <w:tc>
          <w:tcPr>
            <w:tcW w:w="170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Умови сервісного обслуговування</w:t>
            </w:r>
            <w:r>
              <w:rPr>
                <w:rFonts w:cs="Times New Roman" w:ascii="Times New Roman" w:hAnsi="Times New Roman"/>
                <w:sz w:val="24"/>
                <w:szCs w:val="24"/>
              </w:rPr>
              <w:t>:</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Повинен мати єдину сервісну підтримку від виробника обладнання на програмно-апаратний комплекс в цілому не менше трьох (3) років 24х7 з обслуговуванням на місці експлуатації комплексу, з часом реакції на сервісне звернення 4 години, та можливістю неповернення носіїв, що вийшли з ладу.</w:t>
            </w:r>
          </w:p>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Вбудоване програмне забезпечення має забезпечити наявність функціоналу постійної відправки діагностичної інформації про стан програмно-апаратного комплексу для проактивної підтримки виробником. Жодні персональні, специфічні дані віртуальних машин, метадані не повинні передаватися.</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1.11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Розгортання рішення:</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Виробником обладнання повинно бути реалізовано розгортання рішення програмно-апаратного комплексу, як апаратної частини так і програмного забезпечення із засобами управління на технічному майданчику Замовника. </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bCs/>
                <w:sz w:val="24"/>
                <w:szCs w:val="24"/>
              </w:rPr>
            </w:pPr>
            <w:r>
              <w:rPr>
                <w:rFonts w:cs="Times New Roman" w:ascii="Times New Roman" w:hAnsi="Times New Roman"/>
                <w:bCs/>
                <w:sz w:val="24"/>
                <w:szCs w:val="24"/>
              </w:rPr>
              <w:t>1.12</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Встановлене ПЗ:</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bCs/>
                <w:sz w:val="24"/>
                <w:szCs w:val="24"/>
                <w:lang w:val="uk-UA"/>
              </w:rPr>
            </w:pPr>
            <w:r>
              <w:rPr>
                <w:rFonts w:cs="Times New Roman" w:ascii="Times New Roman" w:hAnsi="Times New Roman"/>
                <w:bCs/>
                <w:sz w:val="24"/>
                <w:szCs w:val="24"/>
                <w:lang w:val="uk-UA"/>
              </w:rPr>
              <w:t>ПЗ Nutanix Cloud Infrastructure Pro – з відповідною кількістю процесорних ліцензій;</w:t>
            </w:r>
          </w:p>
          <w:p>
            <w:pPr>
              <w:pStyle w:val="ListParagraph"/>
              <w:widowControl w:val="false"/>
              <w:numPr>
                <w:ilvl w:val="0"/>
                <w:numId w:val="1"/>
              </w:numPr>
              <w:suppressAutoHyphens w:val="false"/>
              <w:spacing w:lineRule="auto" w:line="240" w:before="0" w:after="0"/>
              <w:ind w:left="437" w:hanging="360"/>
              <w:contextualSpacing/>
              <w:jc w:val="both"/>
              <w:rPr>
                <w:rFonts w:ascii="Times New Roman" w:hAnsi="Times New Roman" w:cs="Times New Roman"/>
                <w:bCs/>
                <w:sz w:val="24"/>
                <w:szCs w:val="24"/>
                <w:lang w:val="uk-UA"/>
              </w:rPr>
            </w:pPr>
            <w:r>
              <w:rPr>
                <w:rFonts w:cs="Times New Roman" w:ascii="Times New Roman" w:hAnsi="Times New Roman"/>
                <w:bCs/>
                <w:sz w:val="24"/>
                <w:szCs w:val="24"/>
                <w:lang w:val="uk-UA"/>
              </w:rPr>
              <w:t>Термін підписки – три (3) роки Production support;</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rPr>
                <w:rFonts w:ascii="Times New Roman" w:hAnsi="Times New Roman" w:cs="Times New Roman"/>
                <w:bCs/>
                <w:sz w:val="24"/>
                <w:szCs w:val="24"/>
              </w:rPr>
            </w:pPr>
            <w:r>
              <w:rPr>
                <w:rFonts w:cs="Times New Roman" w:ascii="Times New Roman" w:hAnsi="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Функціональні вимоги програмного забезпечення віртуалізації (програмне забезпечення HCI)</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бути масштабованою, додаючи більше серверів (серверів x86) до стеку (кластеру), а також додаючи диски до вибраних серверів.</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Максимальна кількість підтримуваних серверів в одному кластері має становити не менше 32 серверів.</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базуватися на серверах x86-64.</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Запропоноване гіперконвергентне рішення (HCI) повинно мати можливість підтримувати мікросегментацію мережі з метою безпеки.</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підтримувати стиснення/дедуплікацію, кодування стиснення (Erasure Coding-X) як в режимі онлайн, так і в режимі постпроцесу.</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підтримувати високу доступність відповідно до фактора надлишковості 2 (RF-2) – одна повна копія даних має бути завжди присутня.</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повинна підтримувати керування та автоматизацію для всіх послуг.</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має підтримувати управління якістю послуг збереження даних для кожної віртуальної машини (VM Centric Storage QoS).</w:t>
            </w:r>
          </w:p>
          <w:p>
            <w:pPr>
              <w:pStyle w:val="Normal"/>
              <w:widowControl w:val="false"/>
              <w:numPr>
                <w:ilvl w:val="0"/>
                <w:numId w:val="2"/>
              </w:numPr>
              <w:tabs>
                <w:tab w:val="clear" w:pos="708"/>
                <w:tab w:val="left" w:pos="436" w:leader="none"/>
              </w:tabs>
              <w:spacing w:lineRule="auto" w:line="240" w:before="0" w:after="0"/>
              <w:ind w:left="437" w:hanging="360"/>
              <w:jc w:val="both"/>
              <w:rPr>
                <w:rFonts w:ascii="Times New Roman" w:hAnsi="Times New Roman" w:cs="Times New Roman"/>
                <w:sz w:val="24"/>
                <w:szCs w:val="24"/>
              </w:rPr>
            </w:pPr>
            <w:r>
              <w:rPr>
                <w:rFonts w:cs="Times New Roman" w:ascii="Times New Roman" w:hAnsi="Times New Roman"/>
                <w:sz w:val="24"/>
                <w:szCs w:val="24"/>
              </w:rPr>
              <w:t>Запропонована гіперконвергентна інфраструктура (HCI) повинна підтримувати узгоджені знімки додатків (Application Consistent Snapshots).</w:t>
            </w:r>
          </w:p>
        </w:tc>
      </w:tr>
    </w:tbl>
    <w:p>
      <w:pPr>
        <w:pStyle w:val="Normal"/>
        <w:pBdr/>
        <w:spacing w:lineRule="auto" w:line="240" w:before="0" w:after="0"/>
        <w:ind w:left="-142" w:hanging="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У разі, якщо у цій тендерній документації (у тому числі у технічній специфікації) міститься посилання:</w:t>
      </w:r>
    </w:p>
    <w:p>
      <w:pPr>
        <w:pStyle w:val="Normal"/>
        <w:spacing w:lineRule="auto" w:line="240" w:before="0" w:after="0"/>
        <w:ind w:firstLine="263"/>
        <w:jc w:val="both"/>
        <w:rPr>
          <w:rFonts w:ascii="Times New Roman" w:hAnsi="Times New Roman" w:cs="Times New Roman"/>
          <w:i/>
          <w:i/>
          <w:sz w:val="24"/>
          <w:szCs w:val="24"/>
        </w:rPr>
      </w:pPr>
      <w:r>
        <w:rPr>
          <w:rFonts w:cs="Times New Roman" w:ascii="Times New Roman" w:hAnsi="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pPr>
        <w:pStyle w:val="Normal"/>
        <w:pBdr/>
        <w:spacing w:lineRule="auto" w:line="240" w:before="0" w:after="0"/>
        <w:ind w:left="-142" w:hanging="0"/>
        <w:jc w:val="both"/>
        <w:rPr>
          <w:rFonts w:ascii="Times New Roman" w:hAnsi="Times New Roman" w:cs="Times New Roman"/>
          <w:color w:val="000000"/>
        </w:rPr>
      </w:pPr>
      <w:r>
        <w:rPr>
          <w:rFonts w:cs="Times New Roman" w:ascii="Times New Roman" w:hAnsi="Times New Roman"/>
          <w:color w:val="000000"/>
        </w:rPr>
      </w:r>
    </w:p>
    <w:p>
      <w:pPr>
        <w:pStyle w:val="Normal"/>
        <w:pBdr/>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tab/>
      </w:r>
    </w:p>
    <w:p>
      <w:pPr>
        <w:pStyle w:val="Normal"/>
        <w:pBdr/>
        <w:spacing w:lineRule="auto" w:line="240" w:before="0" w:after="0"/>
        <w:ind w:left="-142" w:hanging="0"/>
        <w:jc w:val="both"/>
        <w:rPr>
          <w:rFonts w:ascii="Times New Roman" w:hAnsi="Times New Roman" w:cs="Times New Roman"/>
          <w:color w:val="000000"/>
        </w:rPr>
      </w:pPr>
      <w:r>
        <w:rPr>
          <w:rFonts w:cs="Times New Roman" w:ascii="Times New Roman" w:hAnsi="Times New Roman"/>
          <w:color w:val="000000"/>
        </w:rPr>
      </w:r>
    </w:p>
    <w:p>
      <w:pPr>
        <w:pStyle w:val="Normal"/>
        <w:pBdr/>
        <w:spacing w:lineRule="auto" w:line="240" w:before="0" w:after="0"/>
        <w:ind w:left="-142" w:hanging="0"/>
        <w:jc w:val="both"/>
        <w:rPr>
          <w:rFonts w:ascii="Times New Roman" w:hAnsi="Times New Roman" w:cs="Times New Roman"/>
          <w:color w:val="000000"/>
        </w:rPr>
      </w:pPr>
      <w:r>
        <w:rPr>
          <w:rFonts w:cs="Times New Roman" w:ascii="Times New Roman" w:hAnsi="Times New Roman"/>
          <w:color w:val="000000"/>
        </w:rPr>
      </w:r>
    </w:p>
    <w:p>
      <w:pPr>
        <w:pStyle w:val="Title"/>
        <w:widowControl w:val="false"/>
        <w:shd w:val="clear" w:color="auto" w:fill="auto"/>
        <w:tabs>
          <w:tab w:val="clear" w:pos="708"/>
          <w:tab w:val="left" w:pos="1276" w:leader="none"/>
          <w:tab w:val="left" w:pos="1418" w:leader="none"/>
        </w:tabs>
        <w:ind w:left="360" w:right="0" w:hanging="0"/>
        <w:jc w:val="both"/>
        <w:rPr>
          <w:sz w:val="24"/>
          <w:szCs w:val="24"/>
        </w:rPr>
      </w:pPr>
      <w:r>
        <w:rPr>
          <w:sz w:val="24"/>
          <w:szCs w:val="24"/>
        </w:rPr>
        <w:t>Вимоги до постачальника</w:t>
      </w:r>
    </w:p>
    <w:p>
      <w:pPr>
        <w:pStyle w:val="Normal"/>
        <w:shd w:val="clear" w:color="auto" w:fill="FFFFFF"/>
        <w:tabs>
          <w:tab w:val="clear" w:pos="708"/>
          <w:tab w:val="left" w:pos="2621" w:leader="none"/>
        </w:tabs>
        <w:spacing w:lineRule="auto" w:line="240" w:before="0" w:after="0"/>
        <w:ind w:firstLine="709"/>
        <w:jc w:val="both"/>
        <w:rPr>
          <w:rFonts w:ascii="Times New Roman" w:hAnsi="Times New Roman" w:cs="Times New Roman"/>
          <w:color w:val="000000"/>
          <w:sz w:val="24"/>
          <w:szCs w:val="24"/>
          <w:u w:val="single"/>
        </w:rPr>
      </w:pPr>
      <w:r>
        <w:rPr>
          <w:rFonts w:eastAsia="Arial Unicode MS" w:cs="Times New Roman" w:ascii="Times New Roman" w:hAnsi="Times New Roman"/>
          <w:color w:val="000000"/>
          <w:sz w:val="24"/>
          <w:szCs w:val="24"/>
        </w:rPr>
        <w:t xml:space="preserve">На підтвердження відповідності тендерної </w:t>
      </w:r>
      <w:r>
        <w:rPr>
          <w:rFonts w:cs="Times New Roman" w:ascii="Times New Roman" w:hAnsi="Times New Roman"/>
          <w:color w:val="000000"/>
          <w:sz w:val="24"/>
          <w:szCs w:val="24"/>
        </w:rPr>
        <w:t>пропозиції технічним, якісним, кількісним вимогам до предмета закупівлі, у</w:t>
      </w:r>
      <w:r>
        <w:rPr>
          <w:rFonts w:eastAsia="Arial Unicode MS" w:cs="Times New Roman" w:ascii="Times New Roman" w:hAnsi="Times New Roman"/>
          <w:color w:val="000000"/>
          <w:sz w:val="24"/>
          <w:szCs w:val="24"/>
        </w:rPr>
        <w:t xml:space="preserve">часником у складі тендерної </w:t>
      </w:r>
      <w:r>
        <w:rPr>
          <w:rFonts w:cs="Times New Roman" w:ascii="Times New Roman" w:hAnsi="Times New Roman"/>
          <w:color w:val="000000"/>
          <w:sz w:val="24"/>
          <w:szCs w:val="24"/>
        </w:rPr>
        <w:t xml:space="preserve">пропозиції </w:t>
      </w:r>
      <w:r>
        <w:rPr>
          <w:rFonts w:eastAsia="Arial Unicode MS" w:cs="Times New Roman" w:ascii="Times New Roman" w:hAnsi="Times New Roman"/>
          <w:color w:val="000000"/>
          <w:sz w:val="24"/>
          <w:szCs w:val="24"/>
        </w:rPr>
        <w:t>надається:</w:t>
      </w:r>
    </w:p>
    <w:p>
      <w:pPr>
        <w:pStyle w:val="Normal"/>
        <w:shd w:val="clear" w:color="auto" w:fill="FFFFFF"/>
        <w:spacing w:lineRule="auto" w:line="240" w:before="0" w:after="0"/>
        <w:ind w:right="10" w:firstLine="426"/>
        <w:jc w:val="both"/>
        <w:rPr>
          <w:rFonts w:ascii="Times New Roman" w:hAnsi="Times New Roman" w:cs="Times New Roman"/>
          <w:bCs/>
          <w:sz w:val="24"/>
          <w:szCs w:val="24"/>
        </w:rPr>
      </w:pPr>
      <w:r>
        <w:rPr>
          <w:rFonts w:cs="Times New Roman" w:ascii="Times New Roman" w:hAnsi="Times New Roman"/>
          <w:bCs/>
          <w:sz w:val="24"/>
          <w:szCs w:val="24"/>
        </w:rPr>
        <w:t>Заповнена таблиця відповідності запропонованого Учасником Товару технічним та функціональним вимогам Замовника. Учасник повинен вказати назву продукту, що пропонується до постачання та артикули виробника, для можливості перевірки Замовником відповідності продукту, що пропонується до постачання вимогам Тендерної документації (з вказанням посилань на офіційний сайт виробника).</w:t>
      </w:r>
    </w:p>
    <w:p>
      <w:pPr>
        <w:pStyle w:val="Normal"/>
        <w:shd w:val="clear" w:color="auto" w:fill="FFFFFF"/>
        <w:spacing w:lineRule="auto" w:line="240" w:before="0" w:after="0"/>
        <w:ind w:right="10" w:firstLine="426"/>
        <w:jc w:val="both"/>
        <w:rPr>
          <w:rFonts w:ascii="Times New Roman" w:hAnsi="Times New Roman" w:eastAsia="Arial Unicode MS" w:cs="Times New Roman"/>
          <w:sz w:val="24"/>
          <w:szCs w:val="24"/>
        </w:rPr>
      </w:pPr>
      <w:r>
        <w:rPr>
          <w:rFonts w:cs="Times New Roman" w:ascii="Times New Roman" w:hAnsi="Times New Roman"/>
          <w:bCs/>
          <w:sz w:val="24"/>
          <w:szCs w:val="24"/>
        </w:rPr>
        <w:t>Інформаційні листи від компаній виробників програмної продукції та обладнання, які закуповуються або їх офіційних представництв в Україні, адресованих на ім‘я Замовника, із посиланням на дану процедуру закупівлі та зазначенням назви та адреси учасника, які підтверджують повноваження  учасника постачати програмну продукцію та обладнання, передбачені предметом закупівлі.</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21 403 000,00 грн. (двадцять один  мільйон чотириста три тисячі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34"/>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7"/>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character" w:styleId="Style13" w:customStyle="1">
    <w:name w:val="Назва Знак"/>
    <w:basedOn w:val="DefaultParagraphFont"/>
    <w:qFormat/>
    <w:rsid w:val="001e3d59"/>
    <w:rPr>
      <w:rFonts w:ascii="Times New Roman" w:hAnsi="Times New Roman" w:eastAsia="Times New Roman" w:cs="Times New Roman"/>
      <w:b/>
      <w:bCs/>
      <w:color w:val="000000"/>
      <w:spacing w:val="4"/>
      <w:sz w:val="28"/>
      <w:szCs w:val="28"/>
      <w:shd w:fill="FFFFFF" w:val="clear"/>
      <w:lang w:val="uk-UA" w:eastAsia="ru-RU"/>
    </w:rPr>
  </w:style>
  <w:style w:type="paragraph" w:styleId="Style14">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6">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7"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Title">
    <w:name w:val="Title"/>
    <w:basedOn w:val="Normal"/>
    <w:link w:val="Style13"/>
    <w:qFormat/>
    <w:rsid w:val="001e3d59"/>
    <w:pPr>
      <w:shd w:val="clear" w:color="auto" w:fill="FFFFFF"/>
      <w:spacing w:lineRule="auto" w:line="240" w:before="0" w:after="0"/>
      <w:ind w:right="2834" w:hanging="0"/>
      <w:jc w:val="center"/>
    </w:pPr>
    <w:rPr>
      <w:rFonts w:ascii="Times New Roman" w:hAnsi="Times New Roman" w:eastAsia="Times New Roman" w:cs="Times New Roman"/>
      <w:b/>
      <w:bCs/>
      <w:color w:val="000000"/>
      <w:spacing w:val="4"/>
      <w:sz w:val="28"/>
      <w:szCs w:val="28"/>
      <w:lang w:eastAsia="ru-RU"/>
    </w:rPr>
  </w:style>
  <w:style w:type="paragraph" w:styleId="Style18">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Application>Collabora_Office/22.05.20.1$Linux_X86_64 LibreOffice_project/bd9263bb6d0222e89e44fbff51d0d094dad8e281</Application>
  <AppVersion>15.0000</AppVersion>
  <Pages>6</Pages>
  <Words>1994</Words>
  <Characters>13795</Characters>
  <CharactersWithSpaces>15638</CharactersWithSpaces>
  <Paragraphs>132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2024-09-05T14:02:00Z</dcterms:modified>
  <cp:revision>172</cp:revision>
  <dc:subject/>
  <dc:title/>
</cp:coreProperties>
</file>

<file path=docProps/custom.xml><?xml version="1.0" encoding="utf-8"?>
<Properties xmlns="http://schemas.openxmlformats.org/officeDocument/2006/custom-properties" xmlns:vt="http://schemas.openxmlformats.org/officeDocument/2006/docPropsVTypes"/>
</file>