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widowControl w:val="off"/>
        <w:rPr>
          <w:rFonts w:ascii="Times New Roman" w:hAnsi="Times New Roman" w:cs="Times New Roman"/>
          <w:b/>
          <w:sz w:val="24"/>
          <w:szCs w:val="24"/>
        </w:rPr>
      </w:pPr>
      <w:r>
        <w:rPr>
          <w:rFonts w:ascii="Times New Roman" w:hAnsi="Times New Roman" w:cs="Times New Roman"/>
          <w:b/>
          <w:sz w:val="24"/>
          <w:szCs w:val="24"/>
        </w:rPr>
        <w:t xml:space="preserve">ОБҐРУНТУВАННЯ ТЕХНІЧНИХ ТА ЯКІСНИХ ХАРАКТЕРИСТИК ПРЕДМЕТА ЗАКУПІВЛІ, РОЗМІРУ БЮДЖЕТНОГО ПРИЗНАЧЕННЯ, ОЧІКУВАНОЇ ВАРТОСТІ ПРЕДМЕТА ЗАКУПІВЛІ</w:t>
      </w:r>
      <w:r/>
    </w:p>
    <w:p>
      <w:pPr>
        <w:jc w:val="center"/>
        <w:spacing w:after="0" w:line="240" w:lineRule="auto"/>
        <w:widowControl w:val="off"/>
        <w:rPr>
          <w:rFonts w:ascii="Times New Roman" w:hAnsi="Times New Roman" w:cs="Times New Roman"/>
          <w:b/>
          <w:sz w:val="24"/>
          <w:szCs w:val="24"/>
        </w:rPr>
      </w:pPr>
      <w:r>
        <w:rPr>
          <w:rFonts w:ascii="Times New Roman" w:hAnsi="Times New Roman" w:cs="Times New Roman"/>
          <w:b/>
          <w:sz w:val="24"/>
          <w:szCs w:val="24"/>
        </w:rPr>
      </w:r>
      <w:r/>
    </w:p>
    <w:p>
      <w:pPr>
        <w:jc w:val="center"/>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t xml:space="preserve">(відповідно до пункту 4</w:t>
      </w:r>
      <w:r>
        <w:rPr>
          <w:rFonts w:ascii="Times New Roman" w:hAnsi="Times New Roman" w:cs="Times New Roman"/>
          <w:sz w:val="24"/>
          <w:szCs w:val="24"/>
          <w:vertAlign w:val="superscript"/>
        </w:rPr>
        <w:t xml:space="preserve">1</w:t>
      </w:r>
      <w:r>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r/>
    </w:p>
    <w:p>
      <w:pPr>
        <w:jc w:val="center"/>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r>
        <w:rPr>
          <w:rFonts w:ascii="Times New Roman" w:hAnsi="Times New Roman" w:cs="Times New Roman"/>
          <w:sz w:val="24"/>
          <w:szCs w:val="24"/>
        </w:rPr>
        <w:t xml:space="preserve">Сікевича</w:t>
      </w:r>
      <w:r>
        <w:rPr>
          <w:rFonts w:ascii="Times New Roman" w:hAnsi="Times New Roman" w:cs="Times New Roman"/>
          <w:sz w:val="24"/>
          <w:szCs w:val="24"/>
        </w:rPr>
        <w:t xml:space="preserve">, 28; категорія замовника – бюджетна неприбуткова установа. </w:t>
      </w:r>
      <w:r/>
    </w:p>
    <w:p>
      <w:pPr>
        <w:jc w:val="both"/>
        <w:spacing w:after="0" w:line="240" w:lineRule="auto"/>
        <w:widowControl w:val="off"/>
        <w:rPr>
          <w:rFonts w:ascii="Times New Roman" w:hAnsi="Times New Roman" w:cs="Times New Roman"/>
          <w:b/>
          <w:sz w:val="24"/>
          <w:szCs w:val="24"/>
        </w:rPr>
      </w:pPr>
      <w:r>
        <w:rPr>
          <w:rFonts w:ascii="Times New Roman" w:hAnsi="Times New Roman" w:cs="Times New Roman"/>
          <w:b/>
          <w:sz w:val="24"/>
          <w:szCs w:val="24"/>
        </w:rPr>
      </w:r>
      <w:r/>
    </w:p>
    <w:p>
      <w:pPr>
        <w:jc w:val="both"/>
        <w:spacing w:after="0" w:line="240" w:lineRule="auto"/>
        <w:rPr>
          <w:rFonts w:ascii="Times New Roman" w:hAnsi="Times New Roman" w:cs="Times New Roman"/>
          <w:b/>
          <w:bCs/>
          <w:sz w:val="24"/>
          <w:szCs w:val="24"/>
          <w:highlight w:val="yellow"/>
          <w:lang w:eastAsia="uk-UA"/>
        </w:rPr>
      </w:pPr>
      <w:r>
        <w:rPr>
          <w:sz w:val="24"/>
          <w:szCs w:val="24"/>
        </w:rPr>
        <w:t xml:space="preserve">2</w:t>
      </w:r>
      <w:r>
        <w:rPr>
          <w:rFonts w:ascii="Times New Roman" w:hAnsi="Times New Roman" w:cs="Times New Roman"/>
          <w:b/>
          <w:bCs/>
          <w:sz w:val="24"/>
          <w:szCs w:val="24"/>
        </w:rPr>
        <w:t xml:space="preserve">. Назва предм</w:t>
      </w:r>
      <w:r>
        <w:rPr>
          <w:rFonts w:ascii="Times New Roman" w:hAnsi="Times New Roman" w:cs="Times New Roman"/>
          <w:b/>
          <w:bCs/>
          <w:sz w:val="24"/>
          <w:szCs w:val="24"/>
        </w:rPr>
        <w:t xml:space="preserve">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Pr>
          <w:rFonts w:ascii="Times New Roman" w:hAnsi="Times New Roman" w:cs="Times New Roman"/>
          <w:b/>
          <w:bCs/>
          <w:sz w:val="24"/>
          <w:szCs w:val="24"/>
        </w:rPr>
        <w:t xml:space="preserve"> </w:t>
      </w:r>
      <w:bookmarkStart w:id="0" w:name="_Hlk131760739"/>
      <w:r>
        <w:rPr>
          <w:rFonts w:ascii="Times New Roman" w:hAnsi="Times New Roman" w:cs="Times New Roman"/>
          <w:color w:val="000000"/>
          <w:sz w:val="24"/>
          <w:szCs w:val="24"/>
        </w:rPr>
        <w:t xml:space="preserve">Послуги з прокладання оптоволоконного кабелю за кодом CPV за ЄЗС ДК 021:2015: 72710000-0 </w:t>
      </w:r>
      <w:bookmarkEnd w:id="0"/>
      <w:r>
        <w:rPr>
          <w:rFonts w:ascii="Times New Roman" w:hAnsi="Times New Roman" w:cs="Times New Roman"/>
          <w:sz w:val="24"/>
          <w:szCs w:val="24"/>
        </w:rPr>
        <w:t xml:space="preserve">Послуги у сфері локальних мереж</w:t>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b/>
          <w:sz w:val="24"/>
          <w:szCs w:val="24"/>
        </w:rPr>
        <w:t xml:space="preserve">3. Ідентифікатор закупівлі: — </w:t>
      </w:r>
      <w:r>
        <w:rPr>
          <w:rFonts w:ascii="Times New Roman" w:hAnsi="Times New Roman" w:cs="Times New Roman"/>
          <w:sz w:val="24"/>
          <w:szCs w:val="24"/>
        </w:rPr>
        <w:t xml:space="preserve">UA-2023-0</w:t>
      </w:r>
      <w:r>
        <w:rPr>
          <w:rFonts w:ascii="Times New Roman" w:hAnsi="Times New Roman" w:cs="Times New Roman"/>
          <w:sz w:val="24"/>
          <w:szCs w:val="24"/>
        </w:rPr>
        <w:t xml:space="preserve">8</w:t>
      </w:r>
      <w:r>
        <w:rPr>
          <w:rFonts w:ascii="Times New Roman" w:hAnsi="Times New Roman" w:cs="Times New Roman"/>
          <w:sz w:val="24"/>
          <w:szCs w:val="24"/>
        </w:rPr>
        <w:t xml:space="preserve">-</w:t>
      </w:r>
      <w:r>
        <w:rPr>
          <w:rFonts w:ascii="Times New Roman" w:hAnsi="Times New Roman" w:cs="Times New Roman"/>
          <w:sz w:val="24"/>
          <w:szCs w:val="24"/>
        </w:rPr>
        <w:t xml:space="preserve">11</w:t>
      </w:r>
      <w:r>
        <w:rPr>
          <w:rFonts w:ascii="Times New Roman" w:hAnsi="Times New Roman" w:cs="Times New Roman"/>
          <w:sz w:val="24"/>
          <w:szCs w:val="24"/>
        </w:rPr>
        <w:t xml:space="preserve">-</w:t>
      </w:r>
      <w:r>
        <w:rPr>
          <w:rFonts w:ascii="Times New Roman" w:hAnsi="Times New Roman" w:cs="Times New Roman"/>
          <w:sz w:val="24"/>
          <w:szCs w:val="24"/>
        </w:rPr>
        <w:t xml:space="preserve">005937</w:t>
      </w:r>
      <w:r>
        <w:rPr>
          <w:rFonts w:ascii="Times New Roman" w:hAnsi="Times New Roman" w:cs="Times New Roman"/>
          <w:sz w:val="24"/>
          <w:szCs w:val="24"/>
        </w:rPr>
        <w:t xml:space="preserve">-а</w:t>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r>
      <w:r/>
    </w:p>
    <w:p>
      <w:pPr>
        <w:spacing w:after="0" w:line="240" w:lineRule="auto"/>
        <w:rPr>
          <w:rFonts w:ascii="Times New Roman" w:hAnsi="Times New Roman" w:cs="Times New Roman"/>
          <w:sz w:val="24"/>
          <w:szCs w:val="24"/>
        </w:rPr>
      </w:pPr>
      <w:r>
        <w:rPr>
          <w:rFonts w:ascii="Times New Roman" w:hAnsi="Times New Roman" w:eastAsia="Times New Roman" w:cs="Times New Roman"/>
          <w:b/>
          <w:sz w:val="24"/>
          <w:lang w:eastAsia="ru-RU"/>
        </w:rPr>
        <w:t xml:space="preserve">4. Обґрунтування технічних та якісних </w:t>
      </w:r>
      <w:r>
        <w:rPr>
          <w:rFonts w:ascii="Times New Roman" w:hAnsi="Times New Roman" w:eastAsia="Times New Roman" w:cs="Times New Roman"/>
          <w:b/>
          <w:sz w:val="24"/>
          <w:lang w:eastAsia="ru-RU"/>
        </w:rPr>
        <w:t xml:space="preserve">характеристик предмета закупівлі</w:t>
      </w:r>
      <w:r>
        <w:rPr>
          <w:rFonts w:ascii="Times New Roman" w:hAnsi="Times New Roman" w:eastAsia="Times New Roman" w:cs="Times New Roman"/>
          <w:bCs/>
          <w:sz w:val="24"/>
          <w:lang w:eastAsia="ru-RU"/>
        </w:rPr>
        <w:t xml:space="preserve">: </w:t>
      </w:r>
      <w:r>
        <w:rPr>
          <w:rFonts w:ascii="Times New Roman" w:hAnsi="Times New Roman" w:eastAsia="Times New Roman" w:cs="Times New Roman"/>
          <w:sz w:val="24"/>
          <w:lang w:eastAsia="ru-RU"/>
        </w:rPr>
        <w:t xml:space="preserve"> </w:t>
      </w:r>
      <w:r>
        <w:rPr>
          <w:rFonts w:ascii="Times New Roman" w:hAnsi="Times New Roman" w:cs="Times New Roman"/>
          <w:color w:val="000000"/>
          <w:sz w:val="24"/>
          <w:szCs w:val="24"/>
        </w:rPr>
        <w:t xml:space="preserve">Послуги з прокладання оптоволоконного кабелю</w:t>
      </w:r>
      <w:r>
        <w:rPr>
          <w:rFonts w:ascii="Times New Roman" w:hAnsi="Times New Roman" w:cs="Times New Roman"/>
          <w:sz w:val="24"/>
          <w:szCs w:val="24"/>
        </w:rPr>
        <w:br/>
      </w:r>
      <w:r/>
    </w:p>
    <w:p>
      <w:pPr>
        <w:jc w:val="center"/>
        <w:spacing w:after="0" w:line="240" w:lineRule="auto"/>
        <w:rPr>
          <w:rFonts w:ascii="Times New Roman" w:hAnsi="Times New Roman" w:cs="Times New Roman"/>
          <w:b/>
          <w:sz w:val="24"/>
          <w:szCs w:val="24"/>
          <w:lang w:eastAsia="uk-UA"/>
        </w:rPr>
      </w:pPr>
      <w:r>
        <w:rPr>
          <w:rFonts w:ascii="Times New Roman" w:hAnsi="Times New Roman" w:cs="Times New Roman"/>
          <w:b/>
          <w:sz w:val="24"/>
          <w:szCs w:val="24"/>
          <w:lang w:eastAsia="uk-UA"/>
        </w:rPr>
      </w:r>
      <w:r/>
    </w:p>
    <w:tbl>
      <w:tblPr>
        <w:tblW w:w="975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8"/>
        <w:gridCol w:w="7341"/>
        <w:gridCol w:w="991"/>
        <w:gridCol w:w="850"/>
      </w:tblGrid>
      <w:tr>
        <w:trPr>
          <w:trHeight w:val="248"/>
        </w:trPr>
        <w:tc>
          <w:tcPr>
            <w:tcBorders>
              <w:top w:val="single" w:color="auto" w:sz="4" w:space="0"/>
              <w:left w:val="single" w:color="auto" w:sz="4" w:space="0"/>
              <w:bottom w:val="single" w:color="auto" w:sz="4" w:space="0"/>
              <w:right w:val="single" w:color="auto" w:sz="4" w:space="0"/>
            </w:tcBorders>
            <w:tcW w:w="568" w:type="dxa"/>
            <w:vAlign w:val="center"/>
            <w:textDirection w:val="lrTb"/>
            <w:noWrap/>
          </w:tcPr>
          <w:p>
            <w:pPr>
              <w:jc w:val="cente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w:t>
            </w:r>
            <w:r/>
          </w:p>
        </w:tc>
        <w:tc>
          <w:tcPr>
            <w:tcBorders>
              <w:top w:val="single" w:color="auto" w:sz="4" w:space="0"/>
              <w:left w:val="single" w:color="auto" w:sz="4" w:space="0"/>
              <w:bottom w:val="single" w:color="auto" w:sz="4" w:space="0"/>
              <w:right w:val="single" w:color="auto" w:sz="4" w:space="0"/>
            </w:tcBorders>
            <w:tcW w:w="7346" w:type="dxa"/>
            <w:vAlign w:val="center"/>
            <w:textDirection w:val="lrTb"/>
            <w:noWrap w:val="false"/>
          </w:tcPr>
          <w:p>
            <w:pPr>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Найменування </w:t>
            </w:r>
            <w:r/>
          </w:p>
        </w:tc>
        <w:tc>
          <w:tcPr>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Од. виміру</w:t>
            </w:r>
            <w:r/>
          </w:p>
        </w:tc>
        <w:tc>
          <w:tcPr>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Кількість</w:t>
            </w:r>
            <w:r/>
          </w:p>
        </w:tc>
      </w:tr>
      <w:tr>
        <w:trPr>
          <w:trHeight w:val="339"/>
        </w:trPr>
        <w:tc>
          <w:tcPr>
            <w:tcBorders>
              <w:top w:val="single" w:color="auto" w:sz="4" w:space="0"/>
              <w:left w:val="single" w:color="auto" w:sz="4" w:space="0"/>
              <w:bottom w:val="single" w:color="auto" w:sz="4" w:space="0"/>
              <w:right w:val="single" w:color="auto" w:sz="4" w:space="0"/>
            </w:tcBorders>
            <w:tcW w:w="568" w:type="dxa"/>
            <w:vAlign w:val="center"/>
            <w:textDirection w:val="lrTb"/>
            <w:noWrap/>
          </w:tcPr>
          <w:p>
            <w:pPr>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w:t>
            </w:r>
            <w:r/>
          </w:p>
        </w:tc>
        <w:tc>
          <w:tcPr>
            <w:tcBorders>
              <w:top w:val="single" w:color="auto" w:sz="4" w:space="0"/>
              <w:left w:val="single" w:color="auto" w:sz="4" w:space="0"/>
              <w:bottom w:val="single" w:color="auto" w:sz="4" w:space="0"/>
              <w:right w:val="single" w:color="auto" w:sz="4" w:space="0"/>
            </w:tcBorders>
            <w:tcW w:w="7346" w:type="dxa"/>
            <w:vAlign w:val="center"/>
            <w:textDirection w:val="lrTb"/>
            <w:noWrap w:val="false"/>
          </w:tcPr>
          <w:p>
            <w:pPr>
              <w:spacing w:after="0" w:line="240" w:lineRule="auto"/>
              <w:rPr>
                <w:rFonts w:ascii="Times New Roman" w:hAnsi="Times New Roman" w:cs="Times New Roman"/>
                <w:b/>
                <w:sz w:val="24"/>
                <w:szCs w:val="24"/>
                <w:highlight w:val="yellow"/>
              </w:rPr>
              <w:outlineLvl w:val="1"/>
            </w:pPr>
            <w:r>
              <w:rPr>
                <w:rFonts w:ascii="Times New Roman" w:hAnsi="Times New Roman" w:cs="Times New Roman"/>
                <w:b/>
                <w:bCs/>
                <w:color w:val="000000"/>
                <w:sz w:val="24"/>
                <w:szCs w:val="24"/>
              </w:rPr>
              <w:t xml:space="preserve">Послуги з прокладання оптоволоконного кабелю від буд. №2А по вул. Героїв полку Азов  до буд. №6 по вул. Героїв полку Азов у місті Києві </w:t>
            </w:r>
            <w:r/>
          </w:p>
        </w:tc>
        <w:tc>
          <w:tcPr>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послуга</w:t>
            </w:r>
            <w:r/>
          </w:p>
        </w:tc>
        <w:tc>
          <w:tcPr>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w:t>
            </w:r>
            <w:r/>
          </w:p>
        </w:tc>
      </w:tr>
      <w:tr>
        <w:trPr>
          <w:trHeight w:val="339"/>
        </w:trPr>
        <w:tc>
          <w:tcPr>
            <w:tcBorders>
              <w:top w:val="single" w:color="auto" w:sz="4" w:space="0"/>
              <w:left w:val="single" w:color="auto" w:sz="4" w:space="0"/>
              <w:bottom w:val="single" w:color="auto" w:sz="4" w:space="0"/>
              <w:right w:val="single" w:color="auto" w:sz="4" w:space="0"/>
            </w:tcBorders>
            <w:tcW w:w="568" w:type="dxa"/>
            <w:vAlign w:val="center"/>
            <w:textDirection w:val="lrTb"/>
            <w:noWrap/>
          </w:tcPr>
          <w:p>
            <w:pPr>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w:t>
            </w:r>
            <w:r/>
          </w:p>
        </w:tc>
        <w:tc>
          <w:tcPr>
            <w:tcBorders>
              <w:top w:val="single" w:color="auto" w:sz="4" w:space="0"/>
              <w:left w:val="single" w:color="auto" w:sz="4" w:space="0"/>
              <w:bottom w:val="single" w:color="auto" w:sz="4" w:space="0"/>
              <w:right w:val="single" w:color="auto" w:sz="4" w:space="0"/>
            </w:tcBorders>
            <w:tcW w:w="7346" w:type="dxa"/>
            <w:vAlign w:val="center"/>
            <w:textDirection w:val="lrTb"/>
            <w:noWrap w:val="false"/>
          </w:tcPr>
          <w:p>
            <w:pPr>
              <w:spacing w:after="0" w:line="240" w:lineRule="auto"/>
              <w:rPr>
                <w:rFonts w:ascii="Times New Roman" w:hAnsi="Times New Roman" w:cs="Times New Roman"/>
                <w:b/>
                <w:bCs/>
                <w:color w:val="000000"/>
                <w:sz w:val="24"/>
                <w:szCs w:val="24"/>
              </w:rPr>
              <w:outlineLvl w:val="1"/>
            </w:pPr>
            <w:r>
              <w:rPr>
                <w:rFonts w:ascii="Times New Roman" w:hAnsi="Times New Roman" w:cs="Times New Roman"/>
                <w:b/>
                <w:bCs/>
                <w:color w:val="000000"/>
                <w:sz w:val="24"/>
                <w:szCs w:val="24"/>
              </w:rPr>
              <w:t xml:space="preserve">Послуги з прокладання оптоволоконного кабелю від буд. №152 по </w:t>
            </w:r>
            <w:r>
              <w:rPr>
                <w:rFonts w:ascii="Times New Roman" w:hAnsi="Times New Roman" w:cs="Times New Roman"/>
                <w:b/>
                <w:bCs/>
                <w:color w:val="000000"/>
                <w:sz w:val="24"/>
                <w:szCs w:val="24"/>
              </w:rPr>
              <w:t xml:space="preserve">просп</w:t>
            </w:r>
            <w:r>
              <w:rPr>
                <w:rFonts w:ascii="Times New Roman" w:hAnsi="Times New Roman" w:cs="Times New Roman"/>
                <w:b/>
                <w:bCs/>
                <w:color w:val="000000"/>
                <w:sz w:val="24"/>
                <w:szCs w:val="24"/>
              </w:rPr>
              <w:t xml:space="preserve">. В. Лобановського до буд. №18 по </w:t>
            </w:r>
            <w:r>
              <w:rPr>
                <w:rFonts w:ascii="Times New Roman" w:hAnsi="Times New Roman" w:cs="Times New Roman"/>
                <w:b/>
                <w:bCs/>
                <w:color w:val="000000"/>
                <w:sz w:val="24"/>
                <w:szCs w:val="24"/>
              </w:rPr>
              <w:t xml:space="preserve">пров</w:t>
            </w:r>
            <w:r>
              <w:rPr>
                <w:rFonts w:ascii="Times New Roman" w:hAnsi="Times New Roman" w:cs="Times New Roman"/>
                <w:b/>
                <w:bCs/>
                <w:color w:val="000000"/>
                <w:sz w:val="24"/>
                <w:szCs w:val="24"/>
              </w:rPr>
              <w:t xml:space="preserve">. Р. </w:t>
            </w:r>
            <w:r>
              <w:rPr>
                <w:rFonts w:ascii="Times New Roman" w:hAnsi="Times New Roman" w:cs="Times New Roman"/>
                <w:b/>
                <w:bCs/>
                <w:color w:val="000000"/>
                <w:sz w:val="24"/>
                <w:szCs w:val="24"/>
              </w:rPr>
              <w:t xml:space="preserve">Лужевського</w:t>
            </w:r>
            <w:r>
              <w:rPr>
                <w:rFonts w:ascii="Times New Roman" w:hAnsi="Times New Roman" w:cs="Times New Roman"/>
                <w:b/>
                <w:bCs/>
                <w:color w:val="000000"/>
                <w:sz w:val="24"/>
                <w:szCs w:val="24"/>
              </w:rPr>
              <w:t xml:space="preserve"> у місті Києві</w:t>
            </w:r>
            <w:r/>
          </w:p>
        </w:tc>
        <w:tc>
          <w:tcPr>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послуга</w:t>
            </w:r>
            <w:r/>
          </w:p>
        </w:tc>
        <w:tc>
          <w:tcPr>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w:t>
            </w:r>
            <w:r/>
          </w:p>
        </w:tc>
      </w:tr>
      <w:tr>
        <w:trPr>
          <w:trHeight w:val="1231"/>
        </w:trPr>
        <w:tc>
          <w:tcPr>
            <w:tcBorders>
              <w:top w:val="single" w:color="auto" w:sz="4" w:space="0"/>
              <w:left w:val="single" w:color="auto" w:sz="4" w:space="0"/>
              <w:bottom w:val="single" w:color="auto" w:sz="4" w:space="0"/>
              <w:right w:val="single" w:color="auto" w:sz="4" w:space="0"/>
            </w:tcBorders>
            <w:tcW w:w="568" w:type="dxa"/>
            <w:vAlign w:val="center"/>
            <w:textDirection w:val="lrTb"/>
            <w:noWrap/>
          </w:tcPr>
          <w:p>
            <w:pPr>
              <w:jc w:val="cente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w:t>
            </w:r>
            <w:r/>
          </w:p>
        </w:tc>
        <w:tc>
          <w:tcPr>
            <w:tcBorders>
              <w:top w:val="single" w:color="auto" w:sz="4" w:space="0"/>
              <w:left w:val="single" w:color="auto" w:sz="4" w:space="0"/>
              <w:bottom w:val="single" w:color="auto" w:sz="4" w:space="0"/>
              <w:right w:val="single" w:color="auto" w:sz="4" w:space="0"/>
            </w:tcBorders>
            <w:tcW w:w="7346" w:type="dxa"/>
            <w:vAlign w:val="center"/>
            <w:textDirection w:val="lrTb"/>
            <w:noWrap w:val="false"/>
          </w:tcPr>
          <w:p>
            <w:pPr>
              <w:spacing w:after="0" w:line="240" w:lineRule="auto"/>
              <w:rPr>
                <w:rFonts w:ascii="Times New Roman" w:hAnsi="Times New Roman" w:cs="Times New Roman"/>
                <w:b/>
                <w:bCs/>
                <w:color w:val="000000"/>
                <w:sz w:val="24"/>
                <w:szCs w:val="24"/>
              </w:rPr>
              <w:outlineLvl w:val="1"/>
            </w:pPr>
            <w:r>
              <w:rPr>
                <w:rFonts w:ascii="Times New Roman" w:hAnsi="Times New Roman" w:cs="Times New Roman"/>
                <w:b/>
                <w:bCs/>
                <w:color w:val="000000"/>
                <w:sz w:val="24"/>
                <w:szCs w:val="24"/>
              </w:rPr>
              <w:t xml:space="preserve">Послуги з прокладання оптоволоконного кабелю від буд. №54 по вул. Б. Хмельницького  до буд. №37Б по вул. Б. </w:t>
            </w:r>
            <w:r>
              <w:rPr>
                <w:rFonts w:ascii="Times New Roman" w:hAnsi="Times New Roman" w:cs="Times New Roman"/>
                <w:b/>
                <w:bCs/>
                <w:color w:val="000000"/>
                <w:sz w:val="24"/>
                <w:szCs w:val="24"/>
              </w:rPr>
              <w:t xml:space="preserve">Хмельницбкого</w:t>
            </w:r>
            <w:r>
              <w:rPr>
                <w:rFonts w:ascii="Times New Roman" w:hAnsi="Times New Roman" w:cs="Times New Roman"/>
                <w:b/>
                <w:bCs/>
                <w:color w:val="000000"/>
                <w:sz w:val="24"/>
                <w:szCs w:val="24"/>
              </w:rPr>
              <w:t xml:space="preserve"> у місті Києві</w:t>
            </w:r>
            <w:r/>
          </w:p>
        </w:tc>
        <w:tc>
          <w:tcPr>
            <w:tcBorders>
              <w:top w:val="single" w:color="auto" w:sz="4" w:space="0"/>
              <w:left w:val="single" w:color="auto" w:sz="4" w:space="0"/>
              <w:bottom w:val="single" w:color="auto" w:sz="4" w:space="0"/>
              <w:right w:val="single" w:color="auto" w:sz="4" w:space="0"/>
            </w:tcBorders>
            <w:tcW w:w="992" w:type="dxa"/>
            <w:vAlign w:val="center"/>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послуга</w:t>
            </w:r>
            <w:r/>
          </w:p>
        </w:tc>
        <w:tc>
          <w:tcPr>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w:t>
            </w:r>
            <w:r/>
          </w:p>
        </w:tc>
      </w:tr>
    </w:tbl>
    <w:p>
      <w:pPr>
        <w:spacing w:after="0" w:line="240" w:lineRule="auto"/>
        <w:rPr>
          <w:rFonts w:ascii="Times New Roman" w:hAnsi="Times New Roman" w:eastAsia="Times New Roman" w:cs="Times New Roman"/>
          <w:b/>
          <w:sz w:val="24"/>
          <w:szCs w:val="24"/>
          <w:lang w:eastAsia="uk-UA"/>
        </w:rPr>
      </w:pPr>
      <w:r>
        <w:rPr>
          <w:rFonts w:ascii="Times New Roman" w:hAnsi="Times New Roman" w:eastAsia="Times New Roman" w:cs="Times New Roman"/>
          <w:b/>
          <w:sz w:val="24"/>
          <w:szCs w:val="24"/>
          <w:lang w:eastAsia="uk-UA"/>
        </w:rPr>
      </w:r>
      <w:r/>
    </w:p>
    <w:p>
      <w:pPr>
        <w:jc w:val="center"/>
        <w:spacing w:after="0" w:line="240" w:lineRule="auto"/>
        <w:rPr>
          <w:rFonts w:ascii="Times New Roman" w:hAnsi="Times New Roman" w:cs="Times New Roman"/>
          <w:b/>
          <w:sz w:val="24"/>
          <w:szCs w:val="24"/>
          <w:lang w:eastAsia="uk-UA"/>
        </w:rPr>
      </w:pPr>
      <w:r>
        <w:rPr>
          <w:rFonts w:ascii="Times New Roman" w:hAnsi="Times New Roman" w:cs="Times New Roman"/>
          <w:b/>
          <w:sz w:val="24"/>
          <w:szCs w:val="24"/>
          <w:lang w:eastAsia="uk-UA"/>
        </w:rPr>
        <w:t xml:space="preserve">Технічні вимоги</w:t>
      </w:r>
      <w:r/>
    </w:p>
    <w:p>
      <w:pPr>
        <w:jc w:val="center"/>
        <w:spacing w:after="0" w:line="240" w:lineRule="auto"/>
        <w:rPr>
          <w:rFonts w:ascii="Times New Roman" w:hAnsi="Times New Roman" w:cs="Times New Roman"/>
          <w:b/>
          <w:sz w:val="24"/>
          <w:szCs w:val="24"/>
          <w:lang w:eastAsia="uk-UA"/>
        </w:rPr>
      </w:pPr>
      <w:r>
        <w:rPr>
          <w:rFonts w:ascii="Times New Roman" w:hAnsi="Times New Roman" w:cs="Times New Roman"/>
          <w:b/>
          <w:sz w:val="24"/>
          <w:szCs w:val="24"/>
          <w:lang w:eastAsia="uk-UA"/>
        </w:rPr>
      </w:r>
      <w:r/>
    </w:p>
    <w:p>
      <w:pPr>
        <w:contextualSpacing/>
        <w:ind w:right="-1" w:firstLine="567"/>
        <w:jc w:val="both"/>
        <w:spacing w:after="0" w:line="240" w:lineRule="auto"/>
        <w:tabs>
          <w:tab w:val="left" w:pos="567" w:leader="none"/>
        </w:tabs>
        <w:rPr>
          <w:rFonts w:ascii="Times New Roman" w:hAnsi="Times New Roman" w:cs="Times New Roman"/>
          <w:bCs/>
          <w:i/>
          <w:iCs/>
          <w:color w:val="000000" w:themeColor="text1"/>
          <w:sz w:val="24"/>
          <w:szCs w:val="24"/>
          <w:lang w:eastAsia="ru-RU"/>
        </w:rPr>
      </w:pPr>
      <w:r>
        <w:rPr>
          <w:rFonts w:ascii="Times New Roman" w:hAnsi="Times New Roman" w:cs="Times New Roman"/>
          <w:bCs/>
          <w:i/>
          <w:iCs/>
          <w:color w:val="000000" w:themeColor="text1"/>
          <w:sz w:val="24"/>
          <w:szCs w:val="24"/>
        </w:rPr>
        <w:t xml:space="preserve">У разі наявності посилання на конкретну торгову марку, фірму, код виробника, назву Товару або джерело його походження слід вважати, що після такого посилання міститься вираз «або аналог».</w:t>
      </w:r>
      <w:r/>
    </w:p>
    <w:p>
      <w:pPr>
        <w:ind w:firstLine="567"/>
        <w:jc w:val="both"/>
        <w:spacing w:after="0" w:line="240" w:lineRule="auto"/>
        <w:tabs>
          <w:tab w:val="left" w:pos="-2268"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bCs/>
          <w:color w:val="000000" w:themeColor="text1"/>
          <w:sz w:val="24"/>
          <w:szCs w:val="24"/>
        </w:rPr>
      </w:pPr>
      <w:r>
        <w:rPr>
          <w:rFonts w:ascii="Times New Roman" w:hAnsi="Times New Roman" w:cs="Times New Roman"/>
          <w:bCs/>
          <w:i/>
          <w:iCs/>
          <w:color w:val="000000" w:themeColor="text1"/>
          <w:sz w:val="24"/>
          <w:szCs w:val="24"/>
          <w:shd w:val="clear" w:color="auto" w:fill="ffffff"/>
        </w:rPr>
        <w:t xml:space="preserve">Під «аналогом» розуміється аналогічний Товар (рівноцінний і рівнозначний), який повністю відповідає </w:t>
      </w:r>
      <w:r>
        <w:rPr>
          <w:rFonts w:ascii="Times New Roman" w:hAnsi="Times New Roman" w:cs="Times New Roman"/>
          <w:bCs/>
          <w:i/>
          <w:iCs/>
          <w:color w:val="000000" w:themeColor="text1"/>
          <w:sz w:val="24"/>
          <w:szCs w:val="24"/>
        </w:rPr>
        <w:t xml:space="preserve">технічним та якісним характеристикам,</w:t>
      </w:r>
      <w:r>
        <w:rPr>
          <w:rFonts w:ascii="Times New Roman" w:hAnsi="Times New Roman" w:cs="Times New Roman"/>
          <w:bCs/>
          <w:i/>
          <w:iCs/>
          <w:color w:val="000000" w:themeColor="text1"/>
          <w:sz w:val="24"/>
          <w:szCs w:val="24"/>
          <w:shd w:val="clear" w:color="auto" w:fill="ffffff"/>
        </w:rPr>
        <w:t xml:space="preserve"> </w:t>
      </w:r>
      <w:r>
        <w:rPr>
          <w:rFonts w:ascii="Times New Roman" w:hAnsi="Times New Roman" w:cs="Times New Roman"/>
          <w:bCs/>
          <w:i/>
          <w:iCs/>
          <w:color w:val="000000" w:themeColor="text1"/>
          <w:sz w:val="24"/>
          <w:szCs w:val="24"/>
        </w:rPr>
        <w:t xml:space="preserve">зазначеним </w:t>
      </w:r>
      <w:r>
        <w:rPr>
          <w:rFonts w:ascii="Times New Roman" w:hAnsi="Times New Roman" w:cs="Times New Roman"/>
          <w:bCs/>
          <w:i/>
          <w:iCs/>
          <w:color w:val="000000" w:themeColor="text1"/>
          <w:sz w:val="24"/>
          <w:szCs w:val="24"/>
          <w:shd w:val="clear" w:color="auto" w:fill="ffffff"/>
        </w:rPr>
        <w:t xml:space="preserve">Замовником. </w:t>
      </w:r>
      <w:r>
        <w:rPr>
          <w:rFonts w:ascii="Times New Roman" w:hAnsi="Times New Roman" w:cs="Times New Roman"/>
          <w:bCs/>
          <w:i/>
          <w:iCs/>
          <w:color w:val="000000" w:themeColor="text1"/>
          <w:sz w:val="24"/>
          <w:szCs w:val="24"/>
        </w:rPr>
        <w:t xml:space="preserve">У разі, якщо учасник пропонує «аналог», замість, наведеного Замовником, то він повинен по</w:t>
      </w:r>
      <w:r>
        <w:rPr>
          <w:rFonts w:ascii="Times New Roman" w:hAnsi="Times New Roman" w:cs="Times New Roman"/>
          <w:bCs/>
          <w:i/>
          <w:iCs/>
          <w:color w:val="000000" w:themeColor="text1"/>
          <w:sz w:val="24"/>
          <w:szCs w:val="24"/>
        </w:rPr>
        <w:t xml:space="preserve">значити таку складову частину виразом «аналог» та надати документи, які підтверджують, що «аналог» має аналогічні якісні та технічні характеристики. Також надати порівняльну таблицю із зазначенням  найменування товару та запропонованого учасником  аналогу.</w:t>
      </w:r>
      <w:r/>
    </w:p>
    <w:p>
      <w:pPr>
        <w:ind w:firstLine="567"/>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Всі елементи обладнання та матеріали повинні бути сертифіковані в Україні та мати необхідні дозвільні документи, у разі сертифікації даних матеріалів.</w:t>
      </w:r>
      <w:r/>
    </w:p>
    <w:p>
      <w:pPr>
        <w:ind w:firstLine="567"/>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Всі необхідні витратні матеріали, що не передбачив Замовник, Учаснику необхідно передбачити та </w:t>
      </w:r>
      <w:r>
        <w:rPr>
          <w:rFonts w:ascii="Times New Roman" w:hAnsi="Times New Roman" w:cs="Times New Roman"/>
          <w:sz w:val="24"/>
          <w:szCs w:val="24"/>
        </w:rPr>
        <w:t xml:space="preserve">внести</w:t>
      </w:r>
      <w:r>
        <w:rPr>
          <w:rFonts w:ascii="Times New Roman" w:hAnsi="Times New Roman" w:cs="Times New Roman"/>
          <w:sz w:val="24"/>
          <w:szCs w:val="24"/>
        </w:rPr>
        <w:t xml:space="preserve"> в ціну тендерної пропозиції. </w:t>
      </w:r>
      <w:r/>
    </w:p>
    <w:p>
      <w:pPr>
        <w:ind w:firstLine="567"/>
        <w:jc w:val="both"/>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Надати у складі пропозиції </w:t>
      </w:r>
      <w:r>
        <w:rPr>
          <w:rFonts w:ascii="Times New Roman" w:hAnsi="Times New Roman" w:cs="Times New Roman"/>
          <w:color w:val="000000" w:themeColor="text1"/>
          <w:sz w:val="24"/>
          <w:szCs w:val="24"/>
        </w:rPr>
        <w:t xml:space="preserve">копію чинної ліцензії </w:t>
      </w:r>
      <w:r>
        <w:rPr>
          <w:rFonts w:ascii="Times New Roman" w:hAnsi="Times New Roman" w:cs="Times New Roman"/>
          <w:sz w:val="24"/>
          <w:szCs w:val="24"/>
        </w:rPr>
        <w:t xml:space="preserve">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r/>
    </w:p>
    <w:p>
      <w:pPr>
        <w:ind w:firstLine="567"/>
        <w:jc w:val="both"/>
        <w:spacing w:after="0" w:line="240" w:lineRule="auto"/>
        <w:rPr>
          <w:rFonts w:ascii="Times New Roman" w:hAnsi="Times New Roman" w:cs="Times New Roman"/>
          <w:bCs/>
          <w:sz w:val="24"/>
          <w:szCs w:val="24"/>
          <w:lang w:eastAsia="uk-UA"/>
        </w:rPr>
      </w:pPr>
      <w:r>
        <w:rPr>
          <w:rFonts w:ascii="Times New Roman" w:hAnsi="Times New Roman" w:cs="Times New Roman"/>
          <w:bCs/>
          <w:sz w:val="24"/>
          <w:szCs w:val="24"/>
          <w:lang w:eastAsia="uk-UA"/>
        </w:rPr>
        <w:t xml:space="preserve">4. Учаснику необхідно надати гарантій лист у складі пропозиції, що до складу даної послуги, що закуповується, входить оплата послуг та матеріалів зазначених у технічних вимогах та  послуг із технічного нагляду АТ «Укртелеком».</w:t>
      </w:r>
      <w:r/>
    </w:p>
    <w:p>
      <w:pPr>
        <w:ind w:firstLine="567"/>
        <w:jc w:val="both"/>
        <w:rPr>
          <w:rFonts w:ascii="Times New Roman" w:hAnsi="Times New Roman"/>
          <w:bCs/>
          <w:lang w:eastAsia="uk-UA"/>
        </w:rPr>
      </w:pPr>
      <w:r>
        <w:rPr>
          <w:rFonts w:ascii="Times New Roman" w:hAnsi="Times New Roman"/>
          <w:bCs/>
          <w:lang w:eastAsia="uk-UA"/>
        </w:rPr>
        <w:t xml:space="preserve">5. Всі послуги Учасник повинен надати у відповідності до Технічних умов від АТ «Укртелеком».</w:t>
      </w:r>
      <w:r/>
    </w:p>
    <w:p>
      <w:pPr>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mc:AlternateContent>
          <mc:Choice Requires="wpg">
            <w:drawing>
              <wp:inline xmlns:wp="http://schemas.openxmlformats.org/drawingml/2006/wordprocessingDrawing" distT="0" distB="0" distL="0" distR="0">
                <wp:extent cx="5686425" cy="7972425"/>
                <wp:effectExtent l="0" t="0" r="9525" b="9525"/>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r/>
                      </pic:nvPicPr>
                      <pic:blipFill>
                        <a:blip r:embed="rId10"/>
                        <a:stretch/>
                      </pic:blipFill>
                      <pic:spPr bwMode="auto">
                        <a:xfrm>
                          <a:off x="0" y="0"/>
                          <a:ext cx="5686425" cy="7972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47.8pt;height:627.8pt;mso-wrap-distance-left:0.0pt;mso-wrap-distance-top:0.0pt;mso-wrap-distance-right:0.0pt;mso-wrap-distance-bottom:0.0pt;" stroked="f">
                <v:path textboxrect="0,0,0,0"/>
                <v:imagedata r:id="rId10" o:title=""/>
              </v:shape>
            </w:pict>
          </mc:Fallback>
        </mc:AlternateContent>
      </w:r>
      <w:r/>
    </w:p>
    <w:p>
      <w:pPr>
        <w:ind w:firstLine="567"/>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w:rPr>
          <w:rFonts w:ascii="Times New Roman" w:hAnsi="Times New Roman"/>
          <w:bCs/>
          <w:lang w:eastAsia="uk-UA"/>
        </w:rPr>
      </w:r>
      <w:r/>
    </w:p>
    <w:p>
      <w:pPr>
        <w:ind w:firstLine="567"/>
        <w:jc w:val="both"/>
        <w:rPr>
          <w:rFonts w:ascii="Times New Roman" w:hAnsi="Times New Roman"/>
          <w:bCs/>
          <w:lang w:eastAsia="uk-UA"/>
        </w:rPr>
      </w:pPr>
      <w:r>
        <w:rPr>
          <w:rFonts w:ascii="Times New Roman" w:hAnsi="Times New Roman"/>
          <w:bCs/>
          <w:lang w:eastAsia="uk-UA"/>
        </w:rPr>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492490"/>
                <wp:effectExtent l="0" t="0" r="0" b="381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r/>
                      </pic:nvPicPr>
                      <pic:blipFill>
                        <a:blip r:embed="rId11"/>
                        <a:stretch/>
                      </pic:blipFill>
                      <pic:spPr bwMode="auto">
                        <a:xfrm>
                          <a:off x="0" y="0"/>
                          <a:ext cx="6119495" cy="84924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1.8pt;height:668.7pt;mso-wrap-distance-left:0.0pt;mso-wrap-distance-top:0.0pt;mso-wrap-distance-right:0.0pt;mso-wrap-distance-bottom:0.0pt;" stroked="f">
                <v:path textboxrect="0,0,0,0"/>
                <v:imagedata r:id="rId11"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513445"/>
                <wp:effectExtent l="0" t="0" r="0" b="1905"/>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pic:cNvPicPr>
                        <pic:nvPr/>
                      </pic:nvPicPr>
                      <pic:blipFill>
                        <a:blip r:embed="rId12"/>
                        <a:stretch/>
                      </pic:blipFill>
                      <pic:spPr bwMode="auto">
                        <a:xfrm>
                          <a:off x="0" y="0"/>
                          <a:ext cx="6119495" cy="85134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81.8pt;height:670.4pt;mso-wrap-distance-left:0.0pt;mso-wrap-distance-top:0.0pt;mso-wrap-distance-right:0.0pt;mso-wrap-distance-bottom:0.0pt;" stroked="f">
                <v:path textboxrect="0,0,0,0"/>
                <v:imagedata r:id="rId12"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59409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pic:cNvPicPr>
                        <pic:nvPr/>
                      </pic:nvPicPr>
                      <pic:blipFill>
                        <a:blip r:embed="rId13"/>
                        <a:stretch/>
                      </pic:blipFill>
                      <pic:spPr bwMode="auto">
                        <a:xfrm>
                          <a:off x="0" y="0"/>
                          <a:ext cx="6119495" cy="85940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81.8pt;height:676.7pt;mso-wrap-distance-left:0.0pt;mso-wrap-distance-top:0.0pt;mso-wrap-distance-right:0.0pt;mso-wrap-distance-bottom:0.0pt;" stroked="f">
                <v:path textboxrect="0,0,0,0"/>
                <v:imagedata r:id="rId13"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44613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pic:cNvPicPr>
                        <pic:nvPr/>
                      </pic:nvPicPr>
                      <pic:blipFill>
                        <a:blip r:embed="rId14"/>
                        <a:stretch/>
                      </pic:blipFill>
                      <pic:spPr bwMode="auto">
                        <a:xfrm>
                          <a:off x="0" y="0"/>
                          <a:ext cx="6119495" cy="84461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81.8pt;height:665.0pt;mso-wrap-distance-left:0.0pt;mso-wrap-distance-top:0.0pt;mso-wrap-distance-right:0.0pt;mso-wrap-distance-bottom:0.0pt;" stroked="f">
                <v:path textboxrect="0,0,0,0"/>
                <v:imagedata r:id="rId14"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510905"/>
                <wp:effectExtent l="0" t="0" r="0" b="444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pic:cNvPicPr>
                        <pic:nvPr/>
                      </pic:nvPicPr>
                      <pic:blipFill>
                        <a:blip r:embed="rId15"/>
                        <a:stretch/>
                      </pic:blipFill>
                      <pic:spPr bwMode="auto">
                        <a:xfrm>
                          <a:off x="0" y="0"/>
                          <a:ext cx="6119495" cy="85109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81.8pt;height:670.1pt;mso-wrap-distance-left:0.0pt;mso-wrap-distance-top:0.0pt;mso-wrap-distance-right:0.0pt;mso-wrap-distance-bottom:0.0pt;" stroked="f">
                <v:path textboxrect="0,0,0,0"/>
                <v:imagedata r:id="rId15"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5407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pic:cNvPicPr>
                        <pic:nvPr/>
                      </pic:nvPicPr>
                      <pic:blipFill>
                        <a:blip r:embed="rId16"/>
                        <a:stretch/>
                      </pic:blipFill>
                      <pic:spPr bwMode="auto">
                        <a:xfrm>
                          <a:off x="0" y="0"/>
                          <a:ext cx="6119495" cy="8540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1.8pt;height:672.5pt;mso-wrap-distance-left:0.0pt;mso-wrap-distance-top:0.0pt;mso-wrap-distance-right:0.0pt;mso-wrap-distance-bottom:0.0pt;" stroked="f">
                <v:path textboxrect="0,0,0,0"/>
                <v:imagedata r:id="rId16"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642350"/>
                <wp:effectExtent l="0" t="0" r="0" b="635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pic:cNvPicPr>
                        <pic:nvPr/>
                      </pic:nvPicPr>
                      <pic:blipFill>
                        <a:blip r:embed="rId17"/>
                        <a:stretch/>
                      </pic:blipFill>
                      <pic:spPr bwMode="auto">
                        <a:xfrm>
                          <a:off x="0" y="0"/>
                          <a:ext cx="6119495" cy="8642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81.8pt;height:680.5pt;mso-wrap-distance-left:0.0pt;mso-wrap-distance-top:0.0pt;mso-wrap-distance-right:0.0pt;mso-wrap-distance-bottom:0.0pt;" stroked="f">
                <v:path textboxrect="0,0,0,0"/>
                <v:imagedata r:id="rId17"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473440"/>
                <wp:effectExtent l="0" t="0" r="0" b="381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pic:cNvPicPr>
                        <pic:nvPr/>
                      </pic:nvPicPr>
                      <pic:blipFill>
                        <a:blip r:embed="rId18"/>
                        <a:stretch/>
                      </pic:blipFill>
                      <pic:spPr bwMode="auto">
                        <a:xfrm>
                          <a:off x="0" y="0"/>
                          <a:ext cx="6119495" cy="84734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81.8pt;height:667.2pt;mso-wrap-distance-left:0.0pt;mso-wrap-distance-top:0.0pt;mso-wrap-distance-right:0.0pt;mso-wrap-distance-bottom:0.0pt;" stroked="f">
                <v:path textboxrect="0,0,0,0"/>
                <v:imagedata r:id="rId18"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499475"/>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pic:cNvPicPr>
                        <pic:nvPr/>
                      </pic:nvPicPr>
                      <pic:blipFill>
                        <a:blip r:embed="rId19"/>
                        <a:stretch/>
                      </pic:blipFill>
                      <pic:spPr bwMode="auto">
                        <a:xfrm>
                          <a:off x="0" y="0"/>
                          <a:ext cx="6119495" cy="8499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81.8pt;height:669.2pt;mso-wrap-distance-left:0.0pt;mso-wrap-distance-top:0.0pt;mso-wrap-distance-right:0.0pt;mso-wrap-distance-bottom:0.0pt;" stroked="f">
                <v:path textboxrect="0,0,0,0"/>
                <v:imagedata r:id="rId19"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47725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pic:cNvPicPr>
                        <pic:nvPr/>
                      </pic:nvPicPr>
                      <pic:blipFill>
                        <a:blip r:embed="rId20"/>
                        <a:stretch/>
                      </pic:blipFill>
                      <pic:spPr bwMode="auto">
                        <a:xfrm>
                          <a:off x="0" y="0"/>
                          <a:ext cx="6119495" cy="8477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81.8pt;height:667.5pt;mso-wrap-distance-left:0.0pt;mso-wrap-distance-top:0.0pt;mso-wrap-distance-right:0.0pt;mso-wrap-distance-bottom:0.0pt;" stroked="f">
                <v:path textboxrect="0,0,0,0"/>
                <v:imagedata r:id="rId20"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56234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pic:cNvPicPr>
                        <pic:nvPr/>
                      </pic:nvPicPr>
                      <pic:blipFill>
                        <a:blip r:embed="rId21"/>
                        <a:stretch/>
                      </pic:blipFill>
                      <pic:spPr bwMode="auto">
                        <a:xfrm>
                          <a:off x="0" y="0"/>
                          <a:ext cx="6119495" cy="85623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81.8pt;height:674.2pt;mso-wrap-distance-left:0.0pt;mso-wrap-distance-top:0.0pt;mso-wrap-distance-right:0.0pt;mso-wrap-distance-bottom:0.0pt;" stroked="f">
                <v:path textboxrect="0,0,0,0"/>
                <v:imagedata r:id="rId21"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703945"/>
                <wp:effectExtent l="0" t="0" r="0" b="190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pic:cNvPicPr>
                        <pic:nvPr/>
                      </pic:nvPicPr>
                      <pic:blipFill>
                        <a:blip r:embed="rId22"/>
                        <a:stretch/>
                      </pic:blipFill>
                      <pic:spPr bwMode="auto">
                        <a:xfrm>
                          <a:off x="0" y="0"/>
                          <a:ext cx="6119495" cy="87039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81.8pt;height:685.4pt;mso-wrap-distance-left:0.0pt;mso-wrap-distance-top:0.0pt;mso-wrap-distance-right:0.0pt;mso-wrap-distance-bottom:0.0pt;" stroked="f">
                <v:path textboxrect="0,0,0,0"/>
                <v:imagedata r:id="rId22" o:title=""/>
              </v:shape>
            </w:pict>
          </mc:Fallback>
        </mc:AlternateContent>
      </w:r>
      <w:r/>
    </w:p>
    <w:p>
      <w:pPr>
        <w:ind w:left="-993"/>
        <w:jc w:val="both"/>
        <w:rPr>
          <w:rFonts w:ascii="Times New Roman" w:hAnsi="Times New Roman"/>
          <w:bCs/>
          <w:lang w:eastAsia="uk-UA"/>
        </w:rPr>
      </w:pPr>
      <w:r>
        <w:rPr>
          <w:rFonts w:ascii="Times New Roman" w:hAnsi="Times New Roman"/>
          <w:lang w:eastAsia="uk-UA"/>
        </w:rPr>
        <mc:AlternateContent>
          <mc:Choice Requires="wpg">
            <w:drawing>
              <wp:inline xmlns:wp="http://schemas.openxmlformats.org/drawingml/2006/wordprocessingDrawing" distT="0" distB="0" distL="0" distR="0">
                <wp:extent cx="6119495" cy="863346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pic:cNvPicPr>
                        <pic:nvPr/>
                      </pic:nvPicPr>
                      <pic:blipFill>
                        <a:blip r:embed="rId23"/>
                        <a:stretch/>
                      </pic:blipFill>
                      <pic:spPr bwMode="auto">
                        <a:xfrm>
                          <a:off x="0" y="0"/>
                          <a:ext cx="6119495" cy="86334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81.8pt;height:679.8pt;mso-wrap-distance-left:0.0pt;mso-wrap-distance-top:0.0pt;mso-wrap-distance-right:0.0pt;mso-wrap-distance-bottom:0.0pt;" stroked="f">
                <v:path textboxrect="0,0,0,0"/>
                <v:imagedata r:id="rId23" o:title=""/>
              </v:shape>
            </w:pict>
          </mc:Fallback>
        </mc:AlternateConten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5. Обґрунтування розміру бюджетного призначення:</w:t>
      </w:r>
      <w:r>
        <w:rPr>
          <w:rFonts w:ascii="Times New Roman" w:hAnsi="Times New Roman" w:eastAsia="Times New Roman" w:cs="Times New Roman"/>
          <w:sz w:val="24"/>
          <w:szCs w:val="24"/>
          <w:lang w:eastAsia="ru-RU"/>
        </w:rPr>
        <w:t xml:space="preserve"> розмір бюджетного призначення визначено Законом України «Про Державний </w:t>
      </w:r>
      <w:r>
        <w:rPr>
          <w:rFonts w:ascii="Times New Roman" w:hAnsi="Times New Roman" w:eastAsia="Times New Roman" w:cs="Times New Roman"/>
          <w:sz w:val="24"/>
          <w:szCs w:val="24"/>
          <w:lang w:eastAsia="ru-RU"/>
        </w:rPr>
        <w:t xml:space="preserve">бюджет України на 2023 рік» за КПКВК 1001050 «Реалізація державної політики у сфері внутрішніх справ, забезпечення виконання завдань і функцій органів, установ та закладів Міністерства внутрішніх справ України» відповідно до бюджетного запиту на 2023 рік. </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6. Очікувана вартість предмета закупівлі: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253 154</w:t>
      </w:r>
      <w:r>
        <w:rPr>
          <w:rFonts w:ascii="Times New Roman" w:hAnsi="Times New Roman" w:eastAsia="Times New Roman" w:cs="Times New Roman"/>
          <w:sz w:val="24"/>
          <w:szCs w:val="24"/>
          <w:lang w:eastAsia="ru-RU"/>
        </w:rPr>
        <w:t xml:space="preserve">,00</w:t>
      </w:r>
      <w:r>
        <w:rPr>
          <w:rFonts w:ascii="Times New Roman" w:hAnsi="Times New Roman" w:eastAsia="Times New Roman" w:cs="Times New Roman"/>
          <w:sz w:val="24"/>
          <w:szCs w:val="24"/>
          <w:lang w:eastAsia="ru-RU"/>
        </w:rPr>
        <w:t xml:space="preserve"> грн. (</w:t>
      </w:r>
      <w:r>
        <w:rPr>
          <w:rFonts w:ascii="Times New Roman" w:hAnsi="Times New Roman" w:eastAsia="Times New Roman" w:cs="Times New Roman"/>
          <w:sz w:val="24"/>
          <w:szCs w:val="24"/>
          <w:lang w:eastAsia="ru-RU"/>
        </w:rPr>
        <w:t xml:space="preserve">двісті п’ятдесят три тисячі сто п’ятдесят чотири гривні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00</w:t>
      </w:r>
      <w:r>
        <w:rPr>
          <w:rFonts w:ascii="Times New Roman" w:hAnsi="Times New Roman" w:eastAsia="Times New Roman" w:cs="Times New Roman"/>
          <w:sz w:val="24"/>
          <w:szCs w:val="24"/>
          <w:lang w:eastAsia="ru-RU"/>
        </w:rPr>
        <w:t xml:space="preserve"> коп.) з ПДВ. </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right="-1"/>
        <w:jc w:val="both"/>
        <w:spacing w:after="0" w:line="240" w:lineRule="auto"/>
        <w:widowControl w:val="off"/>
        <w:rPr>
          <w:rFonts w:ascii="Times New Roman" w:hAnsi="Times New Roman" w:eastAsia="Times New Roman" w:cs="Times New Roman"/>
          <w:sz w:val="24"/>
          <w:szCs w:val="24"/>
          <w:vertAlign w:val="superscript"/>
          <w:lang w:eastAsia="ru-RU"/>
        </w:rPr>
      </w:pPr>
      <w:r>
        <w:rPr>
          <w:rFonts w:ascii="Times New Roman" w:hAnsi="Times New Roman" w:eastAsia="Times New Roman" w:cs="Times New Roman"/>
          <w:b/>
          <w:sz w:val="24"/>
          <w:szCs w:val="24"/>
          <w:lang w:eastAsia="ru-RU"/>
        </w:rPr>
        <w:t xml:space="preserve">7. Обґрунтування </w:t>
      </w:r>
      <w:r>
        <w:rPr>
          <w:rFonts w:ascii="Times New Roman" w:hAnsi="Times New Roman" w:eastAsia="Times New Roman" w:cs="Times New Roman"/>
          <w:b/>
          <w:sz w:val="24"/>
          <w:szCs w:val="24"/>
          <w:lang w:eastAsia="ru-RU"/>
        </w:rPr>
        <w:t xml:space="preserve">очікуваної вартості предмета закупівлі: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Очікувана вартість визначена відповідно до частини 1 та 2 пункту 1 Розділу ІІІ «Методи визначення очікуваної вартості» Примірної методики визначення очікува</w:t>
      </w:r>
      <w:r>
        <w:rPr>
          <w:rFonts w:ascii="Times New Roman" w:hAnsi="Times New Roman" w:eastAsia="Times New Roman" w:cs="Times New Roman"/>
          <w:sz w:val="24"/>
          <w:szCs w:val="24"/>
          <w:lang w:eastAsia="ru-RU"/>
        </w:rPr>
        <w:t xml:space="preserve">ної вартості предмета закупівлі затвердженої Наказом Міністерства розвитку економіки, торгівлі 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r>
        <w:rPr>
          <w:rFonts w:ascii="Times New Roman" w:hAnsi="Times New Roman" w:eastAsia="Times New Roman" w:cs="Times New Roman"/>
          <w:sz w:val="24"/>
          <w:szCs w:val="24"/>
          <w:lang w:eastAsia="ru-RU"/>
        </w:rPr>
        <w:t xml:space="preserve">Цод</w:t>
      </w:r>
      <w:r>
        <w:rPr>
          <w:rFonts w:ascii="Times New Roman" w:hAnsi="Times New Roman" w:eastAsia="Times New Roman" w:cs="Times New Roman"/>
          <w:sz w:val="24"/>
          <w:szCs w:val="24"/>
          <w:lang w:eastAsia="ru-RU"/>
        </w:rPr>
        <w:t xml:space="preserve"> = (Ц1 +… + </w:t>
      </w:r>
      <w:r>
        <w:rPr>
          <w:rFonts w:ascii="Times New Roman" w:hAnsi="Times New Roman" w:eastAsia="Times New Roman" w:cs="Times New Roman"/>
          <w:sz w:val="24"/>
          <w:szCs w:val="24"/>
          <w:lang w:eastAsia="ru-RU"/>
        </w:rPr>
        <w:t xml:space="preserve">Цк</w:t>
      </w:r>
      <w:r>
        <w:rPr>
          <w:rFonts w:ascii="Times New Roman" w:hAnsi="Times New Roman" w:eastAsia="Times New Roman" w:cs="Times New Roman"/>
          <w:sz w:val="24"/>
          <w:szCs w:val="24"/>
          <w:lang w:eastAsia="ru-RU"/>
        </w:rPr>
        <w:t xml:space="preserve">) / К.</w:t>
      </w:r>
      <w:r/>
    </w:p>
    <w:p>
      <w:pPr>
        <w:ind w:right="-1"/>
        <w:jc w:val="both"/>
        <w:spacing w:after="0" w:line="240" w:lineRule="auto"/>
        <w:widowControl w:val="off"/>
        <w:rPr>
          <w:rFonts w:ascii="Times New Roman" w:hAnsi="Times New Roman" w:eastAsia="Times New Roman" w:cs="Times New Roman"/>
          <w:sz w:val="24"/>
          <w:szCs w:val="24"/>
          <w:vertAlign w:val="superscript"/>
          <w:lang w:eastAsia="ru-RU"/>
        </w:rPr>
      </w:pPr>
      <w:r>
        <w:rPr>
          <w:rFonts w:ascii="Times New Roman" w:hAnsi="Times New Roman" w:eastAsia="Times New Roman" w:cs="Times New Roman"/>
          <w:sz w:val="24"/>
          <w:szCs w:val="24"/>
          <w:vertAlign w:val="superscript"/>
          <w:lang w:eastAsia="ru-RU"/>
        </w:rPr>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8. Процедура закупівлі:</w:t>
      </w:r>
      <w:r>
        <w:rPr>
          <w:rFonts w:ascii="Times New Roman" w:hAnsi="Times New Roman" w:eastAsia="Times New Roman" w:cs="Times New Roman"/>
          <w:sz w:val="24"/>
          <w:szCs w:val="24"/>
          <w:lang w:eastAsia="ru-RU"/>
        </w:rPr>
        <w:t xml:space="preserve"> Застосовується процедура відкритих торгів з особливостями.</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sectPr>
      <w:footnotePr/>
      <w:endnotePr/>
      <w:type w:val="nextPage"/>
      <w:pgSz w:w="11906" w:h="16838" w:orient="portrait"/>
      <w:pgMar w:top="709" w:right="851" w:bottom="851" w:left="1418"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Times New Roman1">
    <w:panose1 w:val="02020603050405020304"/>
  </w:font>
  <w:font w:name="Segoe UI">
    <w:panose1 w:val="020B0502040504020204"/>
  </w:font>
  <w:font w:name="Tms Rmn">
    <w:panose1 w:val="020B0603030804020204"/>
  </w:font>
  <w:font w:name="Calibri">
    <w:panose1 w:val="020F0502020204030204"/>
  </w:font>
  <w:font w:name="Times New Roman">
    <w:panose1 w:val="02020603050405020304"/>
  </w:font>
  <w:font w:name="Arial">
    <w:panose1 w:val="020B06040202020202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360" w:hanging="360"/>
      </w:pPr>
      <w:rPr>
        <w:rFonts w:hint="default"/>
        <w:u w:val="none"/>
      </w:rPr>
    </w:lvl>
    <w:lvl w:ilvl="1">
      <w:start w:val="1"/>
      <w:numFmt w:val="decimal"/>
      <w:isLgl w:val="false"/>
      <w:suff w:val="space"/>
      <w:lvlText w:val="%1.%2."/>
      <w:lvlJc w:val="left"/>
      <w:pPr>
        <w:ind w:left="360" w:hanging="360"/>
      </w:pPr>
      <w:rPr>
        <w:rFonts w:hint="default"/>
        <w:u w:val="none"/>
      </w:rPr>
    </w:lvl>
    <w:lvl w:ilvl="2">
      <w:start w:val="1"/>
      <w:numFmt w:val="decimal"/>
      <w:isLgl w:val="false"/>
      <w:suff w:val="space"/>
      <w:lvlText w:val="%1.%2.%3."/>
      <w:lvlJc w:val="left"/>
      <w:pPr>
        <w:ind w:left="720" w:hanging="720"/>
      </w:pPr>
      <w:rPr>
        <w:rFonts w:hint="default"/>
        <w:u w:val="none"/>
      </w:rPr>
    </w:lvl>
    <w:lvl w:ilvl="3">
      <w:start w:val="1"/>
      <w:numFmt w:val="decimal"/>
      <w:isLgl w:val="false"/>
      <w:suff w:val="tab"/>
      <w:lvlText w:val="%1.%2.%3.%4."/>
      <w:lvlJc w:val="left"/>
      <w:pPr>
        <w:ind w:left="720" w:hanging="720"/>
      </w:pPr>
      <w:rPr>
        <w:rFonts w:hint="default"/>
        <w:u w:val="none"/>
      </w:rPr>
    </w:lvl>
    <w:lvl w:ilvl="4">
      <w:start w:val="1"/>
      <w:numFmt w:val="decimal"/>
      <w:isLgl w:val="false"/>
      <w:suff w:val="tab"/>
      <w:lvlText w:val="%1.%2.%3.%4.%5."/>
      <w:lvlJc w:val="left"/>
      <w:pPr>
        <w:ind w:left="1080" w:hanging="1080"/>
      </w:pPr>
      <w:rPr>
        <w:rFonts w:hint="default"/>
        <w:u w:val="none"/>
      </w:rPr>
    </w:lvl>
    <w:lvl w:ilvl="5">
      <w:start w:val="1"/>
      <w:numFmt w:val="decimal"/>
      <w:isLgl w:val="false"/>
      <w:suff w:val="tab"/>
      <w:lvlText w:val="%1.%2.%3.%4.%5.%6."/>
      <w:lvlJc w:val="left"/>
      <w:pPr>
        <w:ind w:left="1080" w:hanging="1080"/>
      </w:pPr>
      <w:rPr>
        <w:rFonts w:hint="default"/>
        <w:u w:val="none"/>
      </w:rPr>
    </w:lvl>
    <w:lvl w:ilvl="6">
      <w:start w:val="1"/>
      <w:numFmt w:val="decimal"/>
      <w:isLgl w:val="false"/>
      <w:suff w:val="tab"/>
      <w:lvlText w:val="%1.%2.%3.%4.%5.%6.%7."/>
      <w:lvlJc w:val="left"/>
      <w:pPr>
        <w:ind w:left="1080" w:hanging="1080"/>
      </w:pPr>
      <w:rPr>
        <w:rFonts w:hint="default"/>
        <w:u w:val="none"/>
      </w:rPr>
    </w:lvl>
    <w:lvl w:ilvl="7">
      <w:start w:val="1"/>
      <w:numFmt w:val="decimal"/>
      <w:isLgl w:val="false"/>
      <w:suff w:val="tab"/>
      <w:lvlText w:val="%1.%2.%3.%4.%5.%6.%7.%8."/>
      <w:lvlJc w:val="left"/>
      <w:pPr>
        <w:ind w:left="1440" w:hanging="1440"/>
      </w:pPr>
      <w:rPr>
        <w:rFonts w:hint="default"/>
        <w:u w:val="none"/>
      </w:rPr>
    </w:lvl>
    <w:lvl w:ilvl="8">
      <w:start w:val="1"/>
      <w:numFmt w:val="decimal"/>
      <w:isLgl w:val="false"/>
      <w:suff w:val="tab"/>
      <w:lvlText w:val="%1.%2.%3.%4.%5.%6.%7.%8.%9."/>
      <w:lvlJc w:val="left"/>
      <w:pPr>
        <w:ind w:left="1440" w:hanging="1440"/>
      </w:pPr>
      <w:rPr>
        <w:rFonts w:hint="default"/>
        <w:u w:val="none"/>
      </w:rPr>
    </w:lvl>
  </w:abstractNum>
  <w:abstractNum w:abstractNumId="5">
    <w:multiLevelType w:val="hybridMultilevel"/>
    <w:lvl w:ilvl="0">
      <w:start w:val="1"/>
      <w:numFmt w:val="decimal"/>
      <w:isLgl w:val="false"/>
      <w:suff w:val="space"/>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218" w:hanging="360"/>
      </w:pPr>
      <w:rPr>
        <w:rFonts w:hint="default"/>
      </w:rPr>
    </w:lvl>
    <w:lvl w:ilvl="1">
      <w:start w:val="1"/>
      <w:numFmt w:val="lowerLetter"/>
      <w:isLgl w:val="false"/>
      <w:suff w:val="tab"/>
      <w:lvlText w:val="%2."/>
      <w:lvlJc w:val="left"/>
      <w:pPr>
        <w:ind w:left="938" w:hanging="360"/>
      </w:pPr>
    </w:lvl>
    <w:lvl w:ilvl="2">
      <w:start w:val="1"/>
      <w:numFmt w:val="lowerRoman"/>
      <w:isLgl w:val="false"/>
      <w:suff w:val="tab"/>
      <w:lvlText w:val="%3."/>
      <w:lvlJc w:val="right"/>
      <w:pPr>
        <w:ind w:left="1658" w:hanging="180"/>
      </w:pPr>
    </w:lvl>
    <w:lvl w:ilvl="3">
      <w:start w:val="1"/>
      <w:numFmt w:val="decimal"/>
      <w:isLgl w:val="false"/>
      <w:suff w:val="tab"/>
      <w:lvlText w:val="%4."/>
      <w:lvlJc w:val="left"/>
      <w:pPr>
        <w:ind w:left="2378" w:hanging="360"/>
      </w:pPr>
    </w:lvl>
    <w:lvl w:ilvl="4">
      <w:start w:val="1"/>
      <w:numFmt w:val="lowerLetter"/>
      <w:isLgl w:val="false"/>
      <w:suff w:val="tab"/>
      <w:lvlText w:val="%5."/>
      <w:lvlJc w:val="left"/>
      <w:pPr>
        <w:ind w:left="3098" w:hanging="360"/>
      </w:pPr>
    </w:lvl>
    <w:lvl w:ilvl="5">
      <w:start w:val="1"/>
      <w:numFmt w:val="lowerRoman"/>
      <w:isLgl w:val="false"/>
      <w:suff w:val="tab"/>
      <w:lvlText w:val="%6."/>
      <w:lvlJc w:val="right"/>
      <w:pPr>
        <w:ind w:left="3818" w:hanging="180"/>
      </w:pPr>
    </w:lvl>
    <w:lvl w:ilvl="6">
      <w:start w:val="1"/>
      <w:numFmt w:val="decimal"/>
      <w:isLgl w:val="false"/>
      <w:suff w:val="tab"/>
      <w:lvlText w:val="%7."/>
      <w:lvlJc w:val="left"/>
      <w:pPr>
        <w:ind w:left="4538" w:hanging="360"/>
      </w:pPr>
    </w:lvl>
    <w:lvl w:ilvl="7">
      <w:start w:val="1"/>
      <w:numFmt w:val="lowerLetter"/>
      <w:isLgl w:val="false"/>
      <w:suff w:val="tab"/>
      <w:lvlText w:val="%8."/>
      <w:lvlJc w:val="left"/>
      <w:pPr>
        <w:ind w:left="5258" w:hanging="360"/>
      </w:pPr>
    </w:lvl>
    <w:lvl w:ilvl="8">
      <w:start w:val="1"/>
      <w:numFmt w:val="lowerRoman"/>
      <w:isLgl w:val="false"/>
      <w:suff w:val="tab"/>
      <w:lvlText w:val="%9."/>
      <w:lvlJc w:val="right"/>
      <w:pPr>
        <w:ind w:left="5978" w:hanging="180"/>
      </w:pPr>
    </w:lvl>
  </w:abstractNum>
  <w:abstractNum w:abstractNumId="7">
    <w:multiLevelType w:val="hybridMultilevel"/>
    <w:lvl w:ilvl="0">
      <w:start w:val="1"/>
      <w:numFmt w:val="decimal"/>
      <w:isLgl w:val="false"/>
      <w:suff w:val="tab"/>
      <w:lvlText w:val="%1"/>
      <w:lvlJc w:val="left"/>
      <w:pPr>
        <w:ind w:left="360" w:hanging="360"/>
      </w:pPr>
      <w:rPr>
        <w:rFonts w:hint="default"/>
      </w:rPr>
    </w:lvl>
    <w:lvl w:ilvl="1">
      <w:start w:val="2"/>
      <w:numFmt w:val="decimal"/>
      <w:isLgl w:val="false"/>
      <w:suff w:val="space"/>
      <w:lvlText w:val="%1.%2"/>
      <w:lvlJc w:val="left"/>
      <w:pPr>
        <w:ind w:left="705" w:hanging="360"/>
      </w:pPr>
      <w:rPr>
        <w:rFonts w:hint="default"/>
      </w:rPr>
    </w:lvl>
    <w:lvl w:ilvl="2">
      <w:start w:val="1"/>
      <w:numFmt w:val="decimal"/>
      <w:isLgl w:val="false"/>
      <w:suff w:val="tab"/>
      <w:lvlText w:val="%1.%2.%3"/>
      <w:lvlJc w:val="left"/>
      <w:pPr>
        <w:ind w:left="1410" w:hanging="720"/>
      </w:pPr>
      <w:rPr>
        <w:rFonts w:hint="default"/>
      </w:rPr>
    </w:lvl>
    <w:lvl w:ilvl="3">
      <w:start w:val="1"/>
      <w:numFmt w:val="decimal"/>
      <w:isLgl w:val="false"/>
      <w:suff w:val="tab"/>
      <w:lvlText w:val="%1.%2.%3.%4"/>
      <w:lvlJc w:val="left"/>
      <w:pPr>
        <w:ind w:left="1755" w:hanging="720"/>
      </w:pPr>
      <w:rPr>
        <w:rFonts w:hint="default"/>
      </w:rPr>
    </w:lvl>
    <w:lvl w:ilvl="4">
      <w:start w:val="1"/>
      <w:numFmt w:val="decimal"/>
      <w:isLgl w:val="false"/>
      <w:suff w:val="tab"/>
      <w:lvlText w:val="%1.%2.%3.%4.%5"/>
      <w:lvlJc w:val="left"/>
      <w:pPr>
        <w:ind w:left="2100" w:hanging="720"/>
      </w:pPr>
      <w:rPr>
        <w:rFonts w:hint="default"/>
      </w:rPr>
    </w:lvl>
    <w:lvl w:ilvl="5">
      <w:start w:val="1"/>
      <w:numFmt w:val="decimal"/>
      <w:isLgl w:val="false"/>
      <w:suff w:val="tab"/>
      <w:lvlText w:val="%1.%2.%3.%4.%5.%6"/>
      <w:lvlJc w:val="left"/>
      <w:pPr>
        <w:ind w:left="2805" w:hanging="1080"/>
      </w:pPr>
      <w:rPr>
        <w:rFonts w:hint="default"/>
      </w:rPr>
    </w:lvl>
    <w:lvl w:ilvl="6">
      <w:start w:val="1"/>
      <w:numFmt w:val="decimal"/>
      <w:isLgl w:val="false"/>
      <w:suff w:val="tab"/>
      <w:lvlText w:val="%1.%2.%3.%4.%5.%6.%7"/>
      <w:lvlJc w:val="left"/>
      <w:pPr>
        <w:ind w:left="3150" w:hanging="1080"/>
      </w:pPr>
      <w:rPr>
        <w:rFonts w:hint="default"/>
      </w:rPr>
    </w:lvl>
    <w:lvl w:ilvl="7">
      <w:start w:val="1"/>
      <w:numFmt w:val="decimal"/>
      <w:isLgl w:val="false"/>
      <w:suff w:val="tab"/>
      <w:lvlText w:val="%1.%2.%3.%4.%5.%6.%7.%8"/>
      <w:lvlJc w:val="left"/>
      <w:pPr>
        <w:ind w:left="3855" w:hanging="1440"/>
      </w:pPr>
      <w:rPr>
        <w:rFonts w:hint="default"/>
      </w:rPr>
    </w:lvl>
    <w:lvl w:ilvl="8">
      <w:start w:val="1"/>
      <w:numFmt w:val="decimal"/>
      <w:isLgl w:val="false"/>
      <w:suff w:val="tab"/>
      <w:lvlText w:val="%1.%2.%3.%4.%5.%6.%7.%8.%9"/>
      <w:lvlJc w:val="left"/>
      <w:pPr>
        <w:ind w:left="4200" w:hanging="1440"/>
      </w:pPr>
      <w:rPr>
        <w:rFonts w:hint="default"/>
      </w:rPr>
    </w:lvl>
  </w:abstractNum>
  <w:abstractNum w:abstractNumId="8">
    <w:multiLevelType w:val="hybridMultilevel"/>
    <w:lvl w:ilvl="0">
      <w:start w:val="900"/>
      <w:numFmt w:val="bullet"/>
      <w:isLgl w:val="false"/>
      <w:suff w:val="tab"/>
      <w:lvlText w:val="-"/>
      <w:lvlJc w:val="left"/>
      <w:pPr>
        <w:ind w:left="644" w:hanging="360"/>
      </w:pPr>
      <w:rPr>
        <w:rFonts w:hint="default" w:ascii="Times New Roman" w:hAnsi="Times New Roman" w:eastAsia="Times New Roman" w:cs="Times New Roman"/>
      </w:rPr>
    </w:lvl>
    <w:lvl w:ilvl="1">
      <w:start w:val="1"/>
      <w:numFmt w:val="bullet"/>
      <w:isLgl w:val="false"/>
      <w:suff w:val="tab"/>
      <w:lvlText w:val="o"/>
      <w:lvlJc w:val="left"/>
      <w:pPr>
        <w:ind w:left="1364" w:hanging="360"/>
      </w:pPr>
      <w:rPr>
        <w:rFonts w:hint="default" w:ascii="Courier New" w:hAnsi="Courier New" w:cs="Courier New"/>
      </w:rPr>
    </w:lvl>
    <w:lvl w:ilvl="2">
      <w:start w:val="1"/>
      <w:numFmt w:val="bullet"/>
      <w:isLgl w:val="false"/>
      <w:suff w:val="tab"/>
      <w:lvlText w:val=""/>
      <w:lvlJc w:val="left"/>
      <w:pPr>
        <w:ind w:left="2084" w:hanging="360"/>
      </w:pPr>
      <w:rPr>
        <w:rFonts w:hint="default" w:ascii="Wingdings" w:hAnsi="Wingdings"/>
      </w:rPr>
    </w:lvl>
    <w:lvl w:ilvl="3">
      <w:start w:val="1"/>
      <w:numFmt w:val="bullet"/>
      <w:isLgl w:val="false"/>
      <w:suff w:val="tab"/>
      <w:lvlText w:val=""/>
      <w:lvlJc w:val="left"/>
      <w:pPr>
        <w:ind w:left="2804" w:hanging="360"/>
      </w:pPr>
      <w:rPr>
        <w:rFonts w:hint="default" w:ascii="Symbol" w:hAnsi="Symbol"/>
      </w:rPr>
    </w:lvl>
    <w:lvl w:ilvl="4">
      <w:start w:val="1"/>
      <w:numFmt w:val="bullet"/>
      <w:isLgl w:val="false"/>
      <w:suff w:val="tab"/>
      <w:lvlText w:val="o"/>
      <w:lvlJc w:val="left"/>
      <w:pPr>
        <w:ind w:left="3524" w:hanging="360"/>
      </w:pPr>
      <w:rPr>
        <w:rFonts w:hint="default" w:ascii="Courier New" w:hAnsi="Courier New" w:cs="Courier New"/>
      </w:rPr>
    </w:lvl>
    <w:lvl w:ilvl="5">
      <w:start w:val="1"/>
      <w:numFmt w:val="bullet"/>
      <w:isLgl w:val="false"/>
      <w:suff w:val="tab"/>
      <w:lvlText w:val=""/>
      <w:lvlJc w:val="left"/>
      <w:pPr>
        <w:ind w:left="4244" w:hanging="360"/>
      </w:pPr>
      <w:rPr>
        <w:rFonts w:hint="default" w:ascii="Wingdings" w:hAnsi="Wingdings"/>
      </w:rPr>
    </w:lvl>
    <w:lvl w:ilvl="6">
      <w:start w:val="1"/>
      <w:numFmt w:val="bullet"/>
      <w:isLgl w:val="false"/>
      <w:suff w:val="tab"/>
      <w:lvlText w:val=""/>
      <w:lvlJc w:val="left"/>
      <w:pPr>
        <w:ind w:left="4964" w:hanging="360"/>
      </w:pPr>
      <w:rPr>
        <w:rFonts w:hint="default" w:ascii="Symbol" w:hAnsi="Symbol"/>
      </w:rPr>
    </w:lvl>
    <w:lvl w:ilvl="7">
      <w:start w:val="1"/>
      <w:numFmt w:val="bullet"/>
      <w:isLgl w:val="false"/>
      <w:suff w:val="tab"/>
      <w:lvlText w:val="o"/>
      <w:lvlJc w:val="left"/>
      <w:pPr>
        <w:ind w:left="5684" w:hanging="360"/>
      </w:pPr>
      <w:rPr>
        <w:rFonts w:hint="default" w:ascii="Courier New" w:hAnsi="Courier New" w:cs="Courier New"/>
      </w:rPr>
    </w:lvl>
    <w:lvl w:ilvl="8">
      <w:start w:val="1"/>
      <w:numFmt w:val="bullet"/>
      <w:isLgl w:val="false"/>
      <w:suff w:val="tab"/>
      <w:lvlText w:val=""/>
      <w:lvlJc w:val="left"/>
      <w:pPr>
        <w:ind w:left="6404" w:hanging="360"/>
      </w:pPr>
      <w:rPr>
        <w:rFonts w:hint="default" w:ascii="Wingdings" w:hAnsi="Wingdings"/>
      </w:rPr>
    </w:lvl>
  </w:abstractNum>
  <w:abstractNum w:abstractNumId="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decimal"/>
      <w:isLgl w:val="false"/>
      <w:suff w:val="tab"/>
      <w:lvlText w:val="%1."/>
      <w:lvlJc w:val="left"/>
      <w:pPr>
        <w:ind w:left="720" w:hanging="360"/>
      </w:pPr>
      <w:rPr>
        <w:rFonts w:hint="default" w:ascii="Times New Roman" w:hAnsi="Times New Roman" w:cs="Times New Roman"/>
        <w:b/>
        <w:sz w:val="28"/>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bullet"/>
      <w:isLgl w:val="false"/>
      <w:suff w:val="space"/>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14">
    <w:multiLevelType w:val="hybridMultilevel"/>
    <w:lvl w:ilvl="0">
      <w:start w:val="1"/>
      <w:numFmt w:val="decimal"/>
      <w:isLgl w:val="false"/>
      <w:suff w:val="space"/>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2"/>
      <w:numFmt w:val="decimal"/>
      <w:isLgl w:val="false"/>
      <w:suff w:val="tab"/>
      <w:lvlText w:val="%1."/>
      <w:lvlJc w:val="left"/>
      <w:pPr>
        <w:ind w:left="360" w:hanging="360"/>
      </w:pPr>
      <w:rPr>
        <w:rFonts w:hint="default"/>
        <w:u w:val="none"/>
      </w:rPr>
    </w:lvl>
    <w:lvl w:ilvl="1">
      <w:start w:val="1"/>
      <w:numFmt w:val="decimal"/>
      <w:isLgl w:val="false"/>
      <w:suff w:val="tab"/>
      <w:lvlText w:val="%1.%2."/>
      <w:lvlJc w:val="left"/>
      <w:pPr>
        <w:ind w:left="716" w:hanging="360"/>
      </w:pPr>
      <w:rPr>
        <w:rFonts w:hint="default"/>
        <w:u w:val="none"/>
      </w:rPr>
    </w:lvl>
    <w:lvl w:ilvl="2">
      <w:start w:val="1"/>
      <w:numFmt w:val="decimal"/>
      <w:isLgl w:val="false"/>
      <w:suff w:val="tab"/>
      <w:lvlText w:val="%1.%2.%3."/>
      <w:lvlJc w:val="left"/>
      <w:pPr>
        <w:ind w:left="1432" w:hanging="720"/>
      </w:pPr>
      <w:rPr>
        <w:rFonts w:hint="default"/>
        <w:u w:val="none"/>
      </w:rPr>
    </w:lvl>
    <w:lvl w:ilvl="3">
      <w:start w:val="1"/>
      <w:numFmt w:val="decimal"/>
      <w:isLgl w:val="false"/>
      <w:suff w:val="tab"/>
      <w:lvlText w:val="%1.%2.%3.%4."/>
      <w:lvlJc w:val="left"/>
      <w:pPr>
        <w:ind w:left="1788" w:hanging="720"/>
      </w:pPr>
      <w:rPr>
        <w:rFonts w:hint="default"/>
        <w:u w:val="none"/>
      </w:rPr>
    </w:lvl>
    <w:lvl w:ilvl="4">
      <w:start w:val="1"/>
      <w:numFmt w:val="decimal"/>
      <w:isLgl w:val="false"/>
      <w:suff w:val="tab"/>
      <w:lvlText w:val="%1.%2.%3.%4.%5."/>
      <w:lvlJc w:val="left"/>
      <w:pPr>
        <w:ind w:left="2504" w:hanging="1080"/>
      </w:pPr>
      <w:rPr>
        <w:rFonts w:hint="default"/>
        <w:u w:val="none"/>
      </w:rPr>
    </w:lvl>
    <w:lvl w:ilvl="5">
      <w:start w:val="1"/>
      <w:numFmt w:val="decimal"/>
      <w:isLgl w:val="false"/>
      <w:suff w:val="tab"/>
      <w:lvlText w:val="%1.%2.%3.%4.%5.%6."/>
      <w:lvlJc w:val="left"/>
      <w:pPr>
        <w:ind w:left="2860" w:hanging="1080"/>
      </w:pPr>
      <w:rPr>
        <w:rFonts w:hint="default"/>
        <w:u w:val="none"/>
      </w:rPr>
    </w:lvl>
    <w:lvl w:ilvl="6">
      <w:start w:val="1"/>
      <w:numFmt w:val="decimal"/>
      <w:isLgl w:val="false"/>
      <w:suff w:val="tab"/>
      <w:lvlText w:val="%1.%2.%3.%4.%5.%6.%7."/>
      <w:lvlJc w:val="left"/>
      <w:pPr>
        <w:ind w:left="3216" w:hanging="1080"/>
      </w:pPr>
      <w:rPr>
        <w:rFonts w:hint="default"/>
        <w:u w:val="none"/>
      </w:rPr>
    </w:lvl>
    <w:lvl w:ilvl="7">
      <w:start w:val="1"/>
      <w:numFmt w:val="decimal"/>
      <w:isLgl w:val="false"/>
      <w:suff w:val="tab"/>
      <w:lvlText w:val="%1.%2.%3.%4.%5.%6.%7.%8."/>
      <w:lvlJc w:val="left"/>
      <w:pPr>
        <w:ind w:left="3932" w:hanging="1440"/>
      </w:pPr>
      <w:rPr>
        <w:rFonts w:hint="default"/>
        <w:u w:val="none"/>
      </w:rPr>
    </w:lvl>
    <w:lvl w:ilvl="8">
      <w:start w:val="1"/>
      <w:numFmt w:val="decimal"/>
      <w:isLgl w:val="false"/>
      <w:suff w:val="tab"/>
      <w:lvlText w:val="%1.%2.%3.%4.%5.%6.%7.%8.%9."/>
      <w:lvlJc w:val="left"/>
      <w:pPr>
        <w:ind w:left="4288" w:hanging="1440"/>
      </w:pPr>
      <w:rPr>
        <w:rFonts w:hint="default"/>
        <w:u w:val="none"/>
      </w:rPr>
    </w:lvl>
  </w:abstractNum>
  <w:abstractNum w:abstractNumId="1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405" w:hanging="405"/>
      </w:pPr>
      <w:rPr>
        <w:rFonts w:hint="default"/>
      </w:rPr>
    </w:lvl>
    <w:lvl w:ilvl="1">
      <w:start w:val="2"/>
      <w:numFmt w:val="decimal"/>
      <w:isLgl w:val="false"/>
      <w:suff w:val="tab"/>
      <w:lvlText w:val="%1.%2"/>
      <w:lvlJc w:val="left"/>
      <w:pPr>
        <w:ind w:left="583" w:hanging="405"/>
      </w:pPr>
      <w:rPr>
        <w:rFonts w:hint="default"/>
      </w:rPr>
    </w:lvl>
    <w:lvl w:ilvl="2">
      <w:start w:val="4"/>
      <w:numFmt w:val="decimal"/>
      <w:isLgl w:val="false"/>
      <w:suff w:val="space"/>
      <w:lvlText w:val="%1.%2.%3"/>
      <w:lvlJc w:val="left"/>
      <w:pPr>
        <w:ind w:left="1076" w:hanging="720"/>
      </w:pPr>
      <w:rPr>
        <w:rFonts w:hint="default"/>
        <w:i w:val="0"/>
      </w:rPr>
    </w:lvl>
    <w:lvl w:ilvl="3">
      <w:start w:val="1"/>
      <w:numFmt w:val="decimal"/>
      <w:isLgl w:val="false"/>
      <w:suff w:val="tab"/>
      <w:lvlText w:val="%1.%2.%3.%4"/>
      <w:lvlJc w:val="left"/>
      <w:pPr>
        <w:ind w:left="1254" w:hanging="720"/>
      </w:pPr>
      <w:rPr>
        <w:rFonts w:hint="default"/>
      </w:rPr>
    </w:lvl>
    <w:lvl w:ilvl="4">
      <w:start w:val="1"/>
      <w:numFmt w:val="decimal"/>
      <w:isLgl w:val="false"/>
      <w:suff w:val="tab"/>
      <w:lvlText w:val="%1.%2.%3.%4.%5"/>
      <w:lvlJc w:val="left"/>
      <w:pPr>
        <w:ind w:left="1432" w:hanging="720"/>
      </w:pPr>
      <w:rPr>
        <w:rFonts w:hint="default"/>
      </w:rPr>
    </w:lvl>
    <w:lvl w:ilvl="5">
      <w:start w:val="1"/>
      <w:numFmt w:val="decimal"/>
      <w:isLgl w:val="false"/>
      <w:suff w:val="tab"/>
      <w:lvlText w:val="%1.%2.%3.%4.%5.%6"/>
      <w:lvlJc w:val="left"/>
      <w:pPr>
        <w:ind w:left="1970" w:hanging="1080"/>
      </w:pPr>
      <w:rPr>
        <w:rFonts w:hint="default"/>
      </w:rPr>
    </w:lvl>
    <w:lvl w:ilvl="6">
      <w:start w:val="1"/>
      <w:numFmt w:val="decimal"/>
      <w:isLgl w:val="false"/>
      <w:suff w:val="tab"/>
      <w:lvlText w:val="%1.%2.%3.%4.%5.%6.%7"/>
      <w:lvlJc w:val="left"/>
      <w:pPr>
        <w:ind w:left="2148" w:hanging="1080"/>
      </w:pPr>
      <w:rPr>
        <w:rFonts w:hint="default"/>
      </w:rPr>
    </w:lvl>
    <w:lvl w:ilvl="7">
      <w:start w:val="1"/>
      <w:numFmt w:val="decimal"/>
      <w:isLgl w:val="false"/>
      <w:suff w:val="tab"/>
      <w:lvlText w:val="%1.%2.%3.%4.%5.%6.%7.%8"/>
      <w:lvlJc w:val="left"/>
      <w:pPr>
        <w:ind w:left="2686" w:hanging="1440"/>
      </w:pPr>
      <w:rPr>
        <w:rFonts w:hint="default"/>
      </w:rPr>
    </w:lvl>
    <w:lvl w:ilvl="8">
      <w:start w:val="1"/>
      <w:numFmt w:val="decimal"/>
      <w:isLgl w:val="false"/>
      <w:suff w:val="tab"/>
      <w:lvlText w:val="%1.%2.%3.%4.%5.%6.%7.%8.%9"/>
      <w:lvlJc w:val="left"/>
      <w:pPr>
        <w:ind w:left="2864" w:hanging="1440"/>
      </w:pPr>
      <w:rPr>
        <w:rFonts w:hint="default"/>
      </w:rPr>
    </w:lvl>
  </w:abstractNum>
  <w:abstractNum w:abstractNumId="18">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num w:numId="1">
    <w:abstractNumId w:val="14"/>
  </w:num>
  <w:num w:numId="2">
    <w:abstractNumId w:val="10"/>
  </w:num>
  <w:num w:numId="3">
    <w:abstractNumId w:val="5"/>
  </w:num>
  <w:num w:numId="4">
    <w:abstractNumId w:val="12"/>
  </w:num>
  <w:num w:numId="5">
    <w:abstractNumId w:val="4"/>
  </w:num>
  <w:num w:numId="6">
    <w:abstractNumId w:val="15"/>
  </w:num>
  <w:num w:numId="7">
    <w:abstractNumId w:val="7"/>
  </w:num>
  <w:num w:numId="8">
    <w:abstractNumId w:val="17"/>
  </w:num>
  <w:num w:numId="9">
    <w:abstractNumId w:val="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6"/>
  </w:num>
  <w:num w:numId="13">
    <w:abstractNumId w:val="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6"/>
  </w:num>
  <w:num w:numId="17">
    <w:abstractNumId w:val="0"/>
  </w:num>
  <w:num w:numId="18">
    <w:abstractNumId w:val="18"/>
  </w:num>
  <w:num w:numId="19">
    <w:abstractNumId w:val="13"/>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673"/>
    <w:next w:val="673"/>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675"/>
    <w:link w:val="12"/>
    <w:uiPriority w:val="9"/>
    <w:rPr>
      <w:rFonts w:ascii="Arial" w:hAnsi="Arial" w:eastAsia="Arial" w:cs="Arial"/>
      <w:sz w:val="40"/>
      <w:szCs w:val="40"/>
    </w:rPr>
  </w:style>
  <w:style w:type="character" w:styleId="15">
    <w:name w:val="Heading 2 Char"/>
    <w:basedOn w:val="675"/>
    <w:link w:val="674"/>
    <w:uiPriority w:val="9"/>
    <w:rPr>
      <w:rFonts w:ascii="Arial" w:hAnsi="Arial" w:eastAsia="Arial" w:cs="Arial"/>
      <w:sz w:val="34"/>
    </w:rPr>
  </w:style>
  <w:style w:type="paragraph" w:styleId="16">
    <w:name w:val="Heading 3"/>
    <w:basedOn w:val="673"/>
    <w:next w:val="673"/>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675"/>
    <w:link w:val="16"/>
    <w:uiPriority w:val="9"/>
    <w:rPr>
      <w:rFonts w:ascii="Arial" w:hAnsi="Arial" w:eastAsia="Arial" w:cs="Arial"/>
      <w:sz w:val="30"/>
      <w:szCs w:val="30"/>
    </w:rPr>
  </w:style>
  <w:style w:type="paragraph" w:styleId="18">
    <w:name w:val="Heading 4"/>
    <w:basedOn w:val="673"/>
    <w:next w:val="67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75"/>
    <w:link w:val="18"/>
    <w:uiPriority w:val="9"/>
    <w:rPr>
      <w:rFonts w:ascii="Arial" w:hAnsi="Arial" w:eastAsia="Arial" w:cs="Arial"/>
      <w:b/>
      <w:bCs/>
      <w:sz w:val="26"/>
      <w:szCs w:val="26"/>
    </w:rPr>
  </w:style>
  <w:style w:type="paragraph" w:styleId="20">
    <w:name w:val="Heading 5"/>
    <w:basedOn w:val="673"/>
    <w:next w:val="67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75"/>
    <w:link w:val="20"/>
    <w:uiPriority w:val="9"/>
    <w:rPr>
      <w:rFonts w:ascii="Arial" w:hAnsi="Arial" w:eastAsia="Arial" w:cs="Arial"/>
      <w:b/>
      <w:bCs/>
      <w:sz w:val="24"/>
      <w:szCs w:val="24"/>
    </w:rPr>
  </w:style>
  <w:style w:type="paragraph" w:styleId="22">
    <w:name w:val="Heading 6"/>
    <w:basedOn w:val="673"/>
    <w:next w:val="67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75"/>
    <w:link w:val="22"/>
    <w:uiPriority w:val="9"/>
    <w:rPr>
      <w:rFonts w:ascii="Arial" w:hAnsi="Arial" w:eastAsia="Arial" w:cs="Arial"/>
      <w:b/>
      <w:bCs/>
      <w:sz w:val="22"/>
      <w:szCs w:val="22"/>
    </w:rPr>
  </w:style>
  <w:style w:type="paragraph" w:styleId="24">
    <w:name w:val="Heading 7"/>
    <w:basedOn w:val="673"/>
    <w:next w:val="67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75"/>
    <w:link w:val="24"/>
    <w:uiPriority w:val="9"/>
    <w:rPr>
      <w:rFonts w:ascii="Arial" w:hAnsi="Arial" w:eastAsia="Arial" w:cs="Arial"/>
      <w:b/>
      <w:bCs/>
      <w:i/>
      <w:iCs/>
      <w:sz w:val="22"/>
      <w:szCs w:val="22"/>
    </w:rPr>
  </w:style>
  <w:style w:type="paragraph" w:styleId="26">
    <w:name w:val="Heading 8"/>
    <w:basedOn w:val="673"/>
    <w:next w:val="67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75"/>
    <w:link w:val="26"/>
    <w:uiPriority w:val="9"/>
    <w:rPr>
      <w:rFonts w:ascii="Arial" w:hAnsi="Arial" w:eastAsia="Arial" w:cs="Arial"/>
      <w:i/>
      <w:iCs/>
      <w:sz w:val="22"/>
      <w:szCs w:val="22"/>
    </w:rPr>
  </w:style>
  <w:style w:type="paragraph" w:styleId="28">
    <w:name w:val="Heading 9"/>
    <w:basedOn w:val="673"/>
    <w:next w:val="67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75"/>
    <w:link w:val="28"/>
    <w:uiPriority w:val="9"/>
    <w:rPr>
      <w:rFonts w:ascii="Arial" w:hAnsi="Arial" w:eastAsia="Arial" w:cs="Arial"/>
      <w:i/>
      <w:iCs/>
      <w:sz w:val="21"/>
      <w:szCs w:val="21"/>
    </w:rPr>
  </w:style>
  <w:style w:type="paragraph" w:styleId="33">
    <w:name w:val="Title"/>
    <w:basedOn w:val="673"/>
    <w:next w:val="673"/>
    <w:link w:val="34"/>
    <w:uiPriority w:val="10"/>
    <w:qFormat/>
    <w:pPr>
      <w:contextualSpacing/>
      <w:spacing w:before="300" w:after="200"/>
    </w:pPr>
    <w:rPr>
      <w:sz w:val="48"/>
      <w:szCs w:val="48"/>
    </w:rPr>
  </w:style>
  <w:style w:type="character" w:styleId="34">
    <w:name w:val="Title Char"/>
    <w:basedOn w:val="675"/>
    <w:link w:val="33"/>
    <w:uiPriority w:val="10"/>
    <w:rPr>
      <w:sz w:val="48"/>
      <w:szCs w:val="48"/>
    </w:rPr>
  </w:style>
  <w:style w:type="paragraph" w:styleId="35">
    <w:name w:val="Subtitle"/>
    <w:basedOn w:val="673"/>
    <w:next w:val="673"/>
    <w:link w:val="36"/>
    <w:uiPriority w:val="11"/>
    <w:qFormat/>
    <w:pPr>
      <w:spacing w:before="200" w:after="200"/>
    </w:pPr>
    <w:rPr>
      <w:sz w:val="24"/>
      <w:szCs w:val="24"/>
    </w:rPr>
  </w:style>
  <w:style w:type="character" w:styleId="36">
    <w:name w:val="Subtitle Char"/>
    <w:basedOn w:val="675"/>
    <w:link w:val="35"/>
    <w:uiPriority w:val="11"/>
    <w:rPr>
      <w:sz w:val="24"/>
      <w:szCs w:val="24"/>
    </w:rPr>
  </w:style>
  <w:style w:type="paragraph" w:styleId="37">
    <w:name w:val="Quote"/>
    <w:basedOn w:val="673"/>
    <w:next w:val="673"/>
    <w:link w:val="38"/>
    <w:uiPriority w:val="29"/>
    <w:qFormat/>
    <w:pPr>
      <w:ind w:left="720" w:right="720"/>
    </w:pPr>
    <w:rPr>
      <w:i/>
    </w:rPr>
  </w:style>
  <w:style w:type="character" w:styleId="38">
    <w:name w:val="Quote Char"/>
    <w:link w:val="37"/>
    <w:uiPriority w:val="29"/>
    <w:rPr>
      <w:i/>
    </w:rPr>
  </w:style>
  <w:style w:type="paragraph" w:styleId="39">
    <w:name w:val="Intense Quote"/>
    <w:basedOn w:val="673"/>
    <w:next w:val="67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675"/>
    <w:link w:val="705"/>
    <w:uiPriority w:val="99"/>
  </w:style>
  <w:style w:type="character" w:styleId="44">
    <w:name w:val="Footer Char"/>
    <w:basedOn w:val="675"/>
    <w:link w:val="684"/>
    <w:uiPriority w:val="99"/>
  </w:style>
  <w:style w:type="paragraph" w:styleId="45">
    <w:name w:val="Caption"/>
    <w:basedOn w:val="673"/>
    <w:next w:val="673"/>
    <w:uiPriority w:val="35"/>
    <w:semiHidden/>
    <w:unhideWhenUsed/>
    <w:qFormat/>
    <w:pPr>
      <w:spacing w:line="276" w:lineRule="auto"/>
    </w:pPr>
    <w:rPr>
      <w:b/>
      <w:bCs/>
      <w:color w:val="4f81bd" w:themeColor="accent1"/>
      <w:sz w:val="18"/>
      <w:szCs w:val="18"/>
    </w:rPr>
  </w:style>
  <w:style w:type="character" w:styleId="46">
    <w:name w:val="Caption Char"/>
    <w:basedOn w:val="45"/>
    <w:link w:val="684"/>
    <w:uiPriority w:val="99"/>
  </w:style>
  <w:style w:type="table" w:styleId="48">
    <w:name w:val="Table Grid Light"/>
    <w:basedOn w:val="67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7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7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7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7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7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7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7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7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7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7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7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7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7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7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7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7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7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7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7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7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7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7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7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7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7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7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7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7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7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7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7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7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7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4">
    <w:name w:val="Grid Table 5 Dark - Accent 2"/>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8">
    <w:name w:val="Grid Table 5 Dark - Accent 6"/>
    <w:basedOn w:val="67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7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7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7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7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7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7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7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7 Colorful"/>
    <w:basedOn w:val="67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7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7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7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7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7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7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7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76"/>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7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7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7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76"/>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7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7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7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7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7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7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7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7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7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7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19">
    <w:name w:val="List Table 3 - Accent 2"/>
    <w:basedOn w:val="67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7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7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7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3">
    <w:name w:val="List Table 3 - Accent 6"/>
    <w:basedOn w:val="67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7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7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6">
    <w:name w:val="List Table 4 - Accent 2"/>
    <w:basedOn w:val="67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7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7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7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0">
    <w:name w:val="List Table 4 - Accent 6"/>
    <w:basedOn w:val="67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7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7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7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7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7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7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7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7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7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0">
    <w:name w:val="List Table 6 Colorful - Accent 2"/>
    <w:basedOn w:val="67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7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7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7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4">
    <w:name w:val="List Table 6 Colorful - Accent 6"/>
    <w:basedOn w:val="67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7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7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7">
    <w:name w:val="List Table 7 Colorful - Accent 2"/>
    <w:basedOn w:val="67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7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7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7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1">
    <w:name w:val="List Table 7 Colorful - Accent 6"/>
    <w:basedOn w:val="67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4">
    <w:name w:val="Lined - Accent 2"/>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8">
    <w:name w:val="Lined - Accent 6"/>
    <w:basedOn w:val="67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7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7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1">
    <w:name w:val="Bordered &amp; Lined - Accent 2"/>
    <w:basedOn w:val="67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7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7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7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5">
    <w:name w:val="Bordered &amp; Lined - Accent 6"/>
    <w:basedOn w:val="67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7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7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7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7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7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7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7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75"/>
    <w:uiPriority w:val="99"/>
    <w:unhideWhenUsed/>
    <w:rPr>
      <w:vertAlign w:val="superscript"/>
    </w:rPr>
  </w:style>
  <w:style w:type="paragraph" w:styleId="177">
    <w:name w:val="endnote text"/>
    <w:basedOn w:val="67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75"/>
    <w:uiPriority w:val="99"/>
    <w:semiHidden/>
    <w:unhideWhenUsed/>
    <w:rPr>
      <w:vertAlign w:val="superscript"/>
    </w:rPr>
  </w:style>
  <w:style w:type="paragraph" w:styleId="180">
    <w:name w:val="toc 1"/>
    <w:basedOn w:val="673"/>
    <w:next w:val="673"/>
    <w:uiPriority w:val="39"/>
    <w:unhideWhenUsed/>
    <w:pPr>
      <w:ind w:left="0" w:right="0" w:firstLine="0"/>
      <w:spacing w:after="57"/>
    </w:pPr>
  </w:style>
  <w:style w:type="paragraph" w:styleId="181">
    <w:name w:val="toc 2"/>
    <w:basedOn w:val="673"/>
    <w:next w:val="673"/>
    <w:uiPriority w:val="39"/>
    <w:unhideWhenUsed/>
    <w:pPr>
      <w:ind w:left="283" w:right="0" w:firstLine="0"/>
      <w:spacing w:after="57"/>
    </w:pPr>
  </w:style>
  <w:style w:type="paragraph" w:styleId="182">
    <w:name w:val="toc 3"/>
    <w:basedOn w:val="673"/>
    <w:next w:val="673"/>
    <w:uiPriority w:val="39"/>
    <w:unhideWhenUsed/>
    <w:pPr>
      <w:ind w:left="567" w:right="0" w:firstLine="0"/>
      <w:spacing w:after="57"/>
    </w:pPr>
  </w:style>
  <w:style w:type="paragraph" w:styleId="183">
    <w:name w:val="toc 4"/>
    <w:basedOn w:val="673"/>
    <w:next w:val="673"/>
    <w:uiPriority w:val="39"/>
    <w:unhideWhenUsed/>
    <w:pPr>
      <w:ind w:left="850" w:right="0" w:firstLine="0"/>
      <w:spacing w:after="57"/>
    </w:pPr>
  </w:style>
  <w:style w:type="paragraph" w:styleId="184">
    <w:name w:val="toc 5"/>
    <w:basedOn w:val="673"/>
    <w:next w:val="673"/>
    <w:uiPriority w:val="39"/>
    <w:unhideWhenUsed/>
    <w:pPr>
      <w:ind w:left="1134" w:right="0" w:firstLine="0"/>
      <w:spacing w:after="57"/>
    </w:pPr>
  </w:style>
  <w:style w:type="paragraph" w:styleId="185">
    <w:name w:val="toc 6"/>
    <w:basedOn w:val="673"/>
    <w:next w:val="673"/>
    <w:uiPriority w:val="39"/>
    <w:unhideWhenUsed/>
    <w:pPr>
      <w:ind w:left="1417" w:right="0" w:firstLine="0"/>
      <w:spacing w:after="57"/>
    </w:pPr>
  </w:style>
  <w:style w:type="paragraph" w:styleId="186">
    <w:name w:val="toc 7"/>
    <w:basedOn w:val="673"/>
    <w:next w:val="673"/>
    <w:uiPriority w:val="39"/>
    <w:unhideWhenUsed/>
    <w:pPr>
      <w:ind w:left="1701" w:right="0" w:firstLine="0"/>
      <w:spacing w:after="57"/>
    </w:pPr>
  </w:style>
  <w:style w:type="paragraph" w:styleId="187">
    <w:name w:val="toc 8"/>
    <w:basedOn w:val="673"/>
    <w:next w:val="673"/>
    <w:uiPriority w:val="39"/>
    <w:unhideWhenUsed/>
    <w:pPr>
      <w:ind w:left="1984" w:right="0" w:firstLine="0"/>
      <w:spacing w:after="57"/>
    </w:pPr>
  </w:style>
  <w:style w:type="paragraph" w:styleId="188">
    <w:name w:val="toc 9"/>
    <w:basedOn w:val="673"/>
    <w:next w:val="67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3"/>
    <w:next w:val="673"/>
    <w:uiPriority w:val="99"/>
    <w:unhideWhenUsed/>
    <w:pPr>
      <w:spacing w:after="0" w:afterAutospacing="0"/>
    </w:pPr>
  </w:style>
  <w:style w:type="paragraph" w:styleId="673" w:default="1">
    <w:name w:val="Normal"/>
    <w:qFormat/>
    <w:rPr>
      <w:lang w:val="uk-UA"/>
    </w:rPr>
  </w:style>
  <w:style w:type="paragraph" w:styleId="674">
    <w:name w:val="Heading 2"/>
    <w:basedOn w:val="673"/>
    <w:link w:val="693"/>
    <w:uiPriority w:val="9"/>
    <w:qFormat/>
    <w:pPr>
      <w:spacing w:before="100" w:beforeAutospacing="1" w:after="100" w:afterAutospacing="1" w:line="240" w:lineRule="auto"/>
      <w:outlineLvl w:val="1"/>
    </w:pPr>
    <w:rPr>
      <w:rFonts w:ascii="Times New Roman" w:hAnsi="Times New Roman" w:eastAsia="Times New Roman" w:cs="Times New Roman"/>
      <w:b/>
      <w:bCs/>
      <w:sz w:val="36"/>
      <w:szCs w:val="36"/>
      <w:lang w:eastAsia="uk-UA"/>
    </w:rPr>
  </w:style>
  <w:style w:type="character" w:styleId="675" w:default="1">
    <w:name w:val="Default Paragraph Font"/>
    <w:uiPriority w:val="1"/>
    <w:semiHidden/>
    <w:unhideWhenUsed/>
  </w:style>
  <w:style w:type="table" w:styleId="676" w:default="1">
    <w:name w:val="Normal Table"/>
    <w:uiPriority w:val="99"/>
    <w:semiHidden/>
    <w:unhideWhenUsed/>
    <w:tblPr>
      <w:tblInd w:w="0" w:type="dxa"/>
      <w:tblCellMar>
        <w:left w:w="108" w:type="dxa"/>
        <w:top w:w="0" w:type="dxa"/>
        <w:right w:w="108" w:type="dxa"/>
        <w:bottom w:w="0" w:type="dxa"/>
      </w:tblCellMar>
    </w:tblPr>
  </w:style>
  <w:style w:type="numbering" w:styleId="677" w:default="1">
    <w:name w:val="No List"/>
    <w:uiPriority w:val="99"/>
    <w:semiHidden/>
    <w:unhideWhenUsed/>
  </w:style>
  <w:style w:type="paragraph" w:styleId="678">
    <w:name w:val="List Paragraph"/>
    <w:basedOn w:val="673"/>
    <w:link w:val="679"/>
    <w:uiPriority w:val="34"/>
    <w:qFormat/>
    <w:pPr>
      <w:contextualSpacing/>
      <w:ind w:left="720"/>
      <w:spacing w:after="200" w:line="276" w:lineRule="auto"/>
    </w:pPr>
    <w:rPr>
      <w:rFonts w:ascii="Calibri" w:hAnsi="Calibri" w:eastAsia="Calibri" w:cs="Calibri"/>
      <w:lang w:val="ru-RU" w:eastAsia="zh-CN"/>
    </w:rPr>
  </w:style>
  <w:style w:type="character" w:styleId="679" w:customStyle="1">
    <w:name w:val="Абзац списку Знак"/>
    <w:link w:val="678"/>
    <w:uiPriority w:val="34"/>
    <w:rPr>
      <w:rFonts w:ascii="Calibri" w:hAnsi="Calibri" w:eastAsia="Calibri" w:cs="Calibri"/>
      <w:lang w:eastAsia="zh-CN"/>
    </w:rPr>
  </w:style>
  <w:style w:type="table" w:styleId="680">
    <w:name w:val="Table Grid"/>
    <w:basedOn w:val="676"/>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681" w:customStyle="1">
    <w:name w:val="Сетка таблицы2"/>
    <w:basedOn w:val="676"/>
    <w:next w:val="680"/>
    <w:uiPriority w:val="39"/>
    <w:pPr>
      <w:spacing w:after="0" w:line="240" w:lineRule="auto"/>
    </w:pPr>
    <w:rPr>
      <w:rFonts w:ascii="Times New Roman" w:hAnsi="Times New Roman"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682">
    <w:name w:val="Normal (Web)"/>
    <w:basedOn w:val="673"/>
    <w:link w:val="689"/>
    <w:unhideWhenUsed/>
    <w:qFormat/>
    <w:rPr>
      <w:rFonts w:ascii="Times New Roman" w:hAnsi="Times New Roman" w:cs="Times New Roman"/>
      <w:sz w:val="24"/>
      <w:szCs w:val="24"/>
    </w:rPr>
  </w:style>
  <w:style w:type="table" w:styleId="683" w:customStyle="1">
    <w:name w:val="Сетка таблицы1"/>
    <w:basedOn w:val="676"/>
    <w:next w:val="680"/>
    <w:uiPriority w:val="39"/>
    <w:pPr>
      <w:spacing w:after="0" w:line="240" w:lineRule="auto"/>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684">
    <w:name w:val="Footer"/>
    <w:basedOn w:val="673"/>
    <w:link w:val="685"/>
    <w:uiPriority w:val="99"/>
    <w:unhideWhenUsed/>
    <w:pPr>
      <w:spacing w:after="0" w:line="240" w:lineRule="auto"/>
      <w:tabs>
        <w:tab w:val="center" w:pos="4819" w:leader="none"/>
        <w:tab w:val="right" w:pos="9639" w:leader="none"/>
      </w:tabs>
    </w:pPr>
    <w:rPr>
      <w:rFonts w:ascii="Calibri" w:hAnsi="Calibri" w:eastAsia="Calibri" w:cs="Calibri"/>
      <w:lang w:val="ru-RU" w:eastAsia="zh-CN"/>
    </w:rPr>
  </w:style>
  <w:style w:type="character" w:styleId="685" w:customStyle="1">
    <w:name w:val="Нижній колонтитул Знак"/>
    <w:basedOn w:val="675"/>
    <w:link w:val="684"/>
    <w:uiPriority w:val="99"/>
    <w:rPr>
      <w:rFonts w:ascii="Calibri" w:hAnsi="Calibri" w:eastAsia="Calibri" w:cs="Calibri"/>
      <w:lang w:eastAsia="zh-CN"/>
    </w:rPr>
  </w:style>
  <w:style w:type="paragraph" w:styleId="686" w:customStyle="1">
    <w:name w:val="FR1"/>
    <w:pPr>
      <w:ind w:left="40"/>
      <w:jc w:val="both"/>
      <w:spacing w:after="0" w:line="240" w:lineRule="auto"/>
      <w:widowControl w:val="off"/>
    </w:pPr>
    <w:rPr>
      <w:rFonts w:ascii="Calibri" w:hAnsi="Calibri" w:eastAsia="Calibri" w:cs="Times New Roman"/>
      <w:sz w:val="20"/>
      <w:szCs w:val="20"/>
      <w:lang w:val="uk-UA"/>
    </w:rPr>
  </w:style>
  <w:style w:type="character" w:styleId="687">
    <w:name w:val="Hyperlink"/>
    <w:basedOn w:val="675"/>
    <w:uiPriority w:val="99"/>
    <w:unhideWhenUsed/>
    <w:rPr>
      <w:color w:val="0563c1" w:themeColor="hyperlink"/>
      <w:u w:val="single"/>
    </w:rPr>
  </w:style>
  <w:style w:type="character" w:styleId="688" w:customStyle="1">
    <w:name w:val="xfm_93972720"/>
    <w:basedOn w:val="675"/>
  </w:style>
  <w:style w:type="character" w:styleId="689" w:customStyle="1">
    <w:name w:val="Звичайний (веб) Знак"/>
    <w:link w:val="682"/>
    <w:qFormat/>
    <w:rPr>
      <w:rFonts w:ascii="Times New Roman" w:hAnsi="Times New Roman" w:cs="Times New Roman"/>
      <w:sz w:val="24"/>
      <w:szCs w:val="24"/>
      <w:lang w:val="uk-UA"/>
    </w:rPr>
  </w:style>
  <w:style w:type="paragraph" w:styleId="690">
    <w:name w:val="Body Text 2"/>
    <w:basedOn w:val="673"/>
    <w:link w:val="691"/>
    <w:pPr>
      <w:spacing w:after="0" w:line="240" w:lineRule="auto"/>
    </w:pPr>
    <w:rPr>
      <w:rFonts w:ascii="Times New Roman" w:hAnsi="Times New Roman" w:eastAsia="Times New Roman" w:cs="Times New Roman"/>
      <w:sz w:val="28"/>
      <w:szCs w:val="20"/>
      <w:lang w:val="ru-RU" w:eastAsia="ru-RU"/>
    </w:rPr>
  </w:style>
  <w:style w:type="character" w:styleId="691" w:customStyle="1">
    <w:name w:val="Основний текст 2 Знак"/>
    <w:basedOn w:val="675"/>
    <w:link w:val="690"/>
    <w:rPr>
      <w:rFonts w:ascii="Times New Roman" w:hAnsi="Times New Roman" w:eastAsia="Times New Roman" w:cs="Times New Roman"/>
      <w:sz w:val="28"/>
      <w:szCs w:val="20"/>
      <w:lang w:eastAsia="ru-RU"/>
    </w:rPr>
  </w:style>
  <w:style w:type="paragraph" w:styleId="692" w:customStyle="1">
    <w:name w:val="Default"/>
    <w:pPr>
      <w:spacing w:after="0" w:line="240" w:lineRule="auto"/>
    </w:pPr>
    <w:rPr>
      <w:rFonts w:ascii="Times New Roman" w:hAnsi="Times New Roman" w:eastAsia="Calibri" w:cs="Times New Roman"/>
      <w:color w:val="000000"/>
      <w:sz w:val="24"/>
      <w:szCs w:val="24"/>
      <w:lang w:val="uk-UA" w:eastAsia="uk-UA"/>
    </w:rPr>
  </w:style>
  <w:style w:type="character" w:styleId="693" w:customStyle="1">
    <w:name w:val="Заголовок 2 Знак"/>
    <w:basedOn w:val="675"/>
    <w:link w:val="674"/>
    <w:uiPriority w:val="9"/>
    <w:rPr>
      <w:rFonts w:ascii="Times New Roman" w:hAnsi="Times New Roman" w:eastAsia="Times New Roman" w:cs="Times New Roman"/>
      <w:b/>
      <w:bCs/>
      <w:sz w:val="36"/>
      <w:szCs w:val="36"/>
      <w:lang w:val="uk-UA" w:eastAsia="uk-UA"/>
    </w:rPr>
  </w:style>
  <w:style w:type="paragraph" w:styleId="694">
    <w:name w:val="No Spacing"/>
    <w:link w:val="695"/>
    <w:uiPriority w:val="1"/>
    <w:qFormat/>
    <w:pPr>
      <w:spacing w:after="0" w:line="240" w:lineRule="auto"/>
    </w:pPr>
    <w:rPr>
      <w:rFonts w:ascii="Calibri" w:hAnsi="Calibri" w:eastAsia="Calibri" w:cs="Times New Roman"/>
      <w:lang w:val="uk-UA"/>
    </w:rPr>
  </w:style>
  <w:style w:type="character" w:styleId="695" w:customStyle="1">
    <w:name w:val="Без інтервалів Знак"/>
    <w:basedOn w:val="675"/>
    <w:link w:val="694"/>
    <w:uiPriority w:val="1"/>
    <w:rPr>
      <w:rFonts w:ascii="Calibri" w:hAnsi="Calibri" w:eastAsia="Calibri" w:cs="Times New Roman"/>
      <w:lang w:val="uk-UA"/>
    </w:rPr>
  </w:style>
  <w:style w:type="character" w:styleId="696" w:customStyle="1">
    <w:name w:val="Другое_"/>
    <w:basedOn w:val="675"/>
    <w:link w:val="697"/>
    <w:rPr>
      <w:rFonts w:ascii="Calibri" w:hAnsi="Calibri" w:eastAsia="Calibri" w:cs="Calibri"/>
      <w:sz w:val="20"/>
      <w:szCs w:val="20"/>
    </w:rPr>
  </w:style>
  <w:style w:type="paragraph" w:styleId="697" w:customStyle="1">
    <w:name w:val="Другое"/>
    <w:basedOn w:val="673"/>
    <w:link w:val="696"/>
    <w:qFormat/>
    <w:pPr>
      <w:spacing w:after="0" w:line="240" w:lineRule="auto"/>
      <w:widowControl w:val="off"/>
    </w:pPr>
    <w:rPr>
      <w:rFonts w:ascii="Calibri" w:hAnsi="Calibri" w:eastAsia="Calibri" w:cs="Calibri"/>
      <w:sz w:val="20"/>
      <w:szCs w:val="20"/>
      <w:lang w:val="ru-RU"/>
    </w:rPr>
  </w:style>
  <w:style w:type="paragraph" w:styleId="698" w:customStyle="1">
    <w:name w:val="Звичайний1"/>
    <w:qFormat/>
    <w:pPr>
      <w:spacing w:after="0" w:line="240" w:lineRule="auto"/>
    </w:pPr>
    <w:rPr>
      <w:rFonts w:ascii="Tms Rmn" w:hAnsi="Tms Rmn" w:eastAsia="Times New Roman" w:cs="Times New Roman"/>
      <w:sz w:val="20"/>
      <w:szCs w:val="20"/>
      <w:lang w:val="uk-UA" w:eastAsia="ru-RU" w:bidi="te-IN"/>
    </w:rPr>
  </w:style>
  <w:style w:type="character" w:styleId="699" w:customStyle="1">
    <w:name w:val="Основной текст (2)_"/>
    <w:basedOn w:val="675"/>
    <w:link w:val="700"/>
    <w:rPr>
      <w:rFonts w:eastAsia="Times New Roman" w:cs="Times New Roman"/>
      <w:shd w:val="clear" w:color="auto" w:fill="ffffff"/>
    </w:rPr>
  </w:style>
  <w:style w:type="paragraph" w:styleId="700" w:customStyle="1">
    <w:name w:val="Основной текст (2)"/>
    <w:basedOn w:val="673"/>
    <w:link w:val="699"/>
    <w:pPr>
      <w:ind w:hanging="700"/>
      <w:jc w:val="both"/>
      <w:spacing w:before="240" w:after="480" w:line="0" w:lineRule="atLeast"/>
      <w:shd w:val="clear" w:color="auto" w:fill="ffffff"/>
      <w:widowControl w:val="off"/>
    </w:pPr>
    <w:rPr>
      <w:rFonts w:eastAsia="Times New Roman" w:cs="Times New Roman"/>
      <w:lang w:val="ru-RU"/>
    </w:rPr>
  </w:style>
  <w:style w:type="character" w:styleId="701" w:customStyle="1">
    <w:name w:val="Текст у виносці Знак"/>
    <w:basedOn w:val="675"/>
    <w:link w:val="702"/>
    <w:uiPriority w:val="99"/>
    <w:semiHidden/>
    <w:rPr>
      <w:rFonts w:ascii="Segoe UI" w:hAnsi="Segoe UI" w:eastAsia="Times New Roman" w:cs="Segoe UI"/>
      <w:sz w:val="18"/>
      <w:szCs w:val="18"/>
      <w:lang w:eastAsia="ru-RU"/>
    </w:rPr>
  </w:style>
  <w:style w:type="paragraph" w:styleId="702">
    <w:name w:val="Balloon Text"/>
    <w:basedOn w:val="673"/>
    <w:link w:val="701"/>
    <w:uiPriority w:val="99"/>
    <w:semiHidden/>
    <w:unhideWhenUsed/>
    <w:pPr>
      <w:spacing w:after="0" w:line="240" w:lineRule="auto"/>
      <w:widowControl w:val="off"/>
    </w:pPr>
    <w:rPr>
      <w:rFonts w:ascii="Segoe UI" w:hAnsi="Segoe UI" w:eastAsia="Times New Roman" w:cs="Segoe UI"/>
      <w:sz w:val="18"/>
      <w:szCs w:val="18"/>
      <w:lang w:val="ru-RU" w:eastAsia="ru-RU"/>
    </w:rPr>
  </w:style>
  <w:style w:type="character" w:styleId="703" w:customStyle="1">
    <w:name w:val="Текст у виносці Знак1"/>
    <w:basedOn w:val="675"/>
    <w:uiPriority w:val="99"/>
    <w:semiHidden/>
    <w:rPr>
      <w:rFonts w:ascii="Segoe UI" w:hAnsi="Segoe UI" w:cs="Segoe UI"/>
      <w:sz w:val="18"/>
      <w:szCs w:val="18"/>
      <w:lang w:val="uk-UA"/>
    </w:rPr>
  </w:style>
  <w:style w:type="character" w:styleId="704" w:customStyle="1">
    <w:name w:val="T23"/>
    <w:rPr>
      <w:rFonts w:hint="default" w:ascii="Times New Roman" w:hAnsi="Times New Roman" w:eastAsia="Times New Roman1" w:cs="Times New Roman"/>
    </w:rPr>
  </w:style>
  <w:style w:type="paragraph" w:styleId="705">
    <w:name w:val="Header"/>
    <w:basedOn w:val="673"/>
    <w:link w:val="706"/>
    <w:uiPriority w:val="99"/>
    <w:unhideWhenUsed/>
    <w:pPr>
      <w:spacing w:after="0" w:line="240" w:lineRule="auto"/>
      <w:tabs>
        <w:tab w:val="center" w:pos="4819" w:leader="none"/>
        <w:tab w:val="right" w:pos="9639" w:leader="none"/>
      </w:tabs>
    </w:pPr>
  </w:style>
  <w:style w:type="character" w:styleId="706" w:customStyle="1">
    <w:name w:val="Верхній колонтитул Знак"/>
    <w:basedOn w:val="675"/>
    <w:link w:val="705"/>
    <w:uiPriority w:val="99"/>
    <w:rPr>
      <w:lang w:val="uk-U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ONLYOFFICE/7.2.2.56</Application>
  <Company>SPecialiST RePack</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Павріанідіс Аліса Віталіївна</cp:lastModifiedBy>
  <cp:revision>136</cp:revision>
  <dcterms:created xsi:type="dcterms:W3CDTF">2022-11-01T12:47:00Z</dcterms:created>
  <dcterms:modified xsi:type="dcterms:W3CDTF">2023-08-14T10:20:00Z</dcterms:modified>
</cp:coreProperties>
</file>