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eastAsia="Calibri" w:cs="Times New Roman"/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Назва предм</w:t>
      </w:r>
      <w:r>
        <w:rPr>
          <w:rFonts w:ascii="Times New Roman" w:hAnsi="Times New Roman" w:cs="Times New Roman"/>
          <w:b/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1"/>
          <w:sz w:val="24"/>
          <w:szCs w:val="24"/>
        </w:rPr>
        <w:t xml:space="preserve">Послуги з доступу до мережі Інтернет з захищеного вузла за код ДК 021:2015:   72410000-7 «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Послуги провайдерів</w:t>
      </w:r>
      <w:r>
        <w:rPr>
          <w:rFonts w:ascii="Times New Roman" w:hAnsi="Times New Roman" w:cs="Times New Roman"/>
          <w:bCs/>
          <w:spacing w:val="1"/>
          <w:sz w:val="24"/>
          <w:szCs w:val="24"/>
        </w:rPr>
        <w:t xml:space="preserve">»</w:t>
      </w:r>
      <w:r/>
    </w:p>
    <w:p>
      <w:pPr>
        <w:pStyle w:val="684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color w:val="585858"/>
          <w:sz w:val="28"/>
          <w:szCs w:val="28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010713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bCs/>
          <w:spacing w:val="1"/>
          <w:sz w:val="24"/>
          <w:szCs w:val="24"/>
        </w:rPr>
        <w:t xml:space="preserve">Послуги з доступу до мережі Інтернет з захищеного вузла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ТЕХНІЧНІ ВИМОГИ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numPr>
          <w:ilvl w:val="0"/>
          <w:numId w:val="20"/>
        </w:numPr>
        <w:ind w:left="0" w:firstLine="426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виконати підключення у відповідності до всіх означених технічних вимогу не пізніше ніж 3 трьох  днів з дати укладення Договору (надати гарантійний лист).</w:t>
      </w:r>
      <w:r/>
    </w:p>
    <w:p>
      <w:pPr>
        <w:numPr>
          <w:ilvl w:val="0"/>
          <w:numId w:val="20"/>
        </w:numPr>
        <w:ind w:left="0" w:firstLine="426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Доступ до глобальної мережі Інтернет повинен здійснюватися через власний Захищений вузол Інтернет-доступу (надалі – ЗВІД) Учасника.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підтвердження наявності ЗВІД Учасник у складі тендерної пропозиції надає копію Атестату відповідності ЗВІД, зареєстрований Державною службою спеціального зв’язку та захисту інформації України, дійсний протягом всього терміну надання послуг. </w:t>
      </w:r>
      <w:r/>
    </w:p>
    <w:p>
      <w:pPr>
        <w:numPr>
          <w:ilvl w:val="0"/>
          <w:numId w:val="20"/>
        </w:numPr>
        <w:ind w:left="0" w:firstLine="426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мати та надати у складі тендерної пропозиції копію сертифікату відповідності системи управління інформаційною безпекою оператора міжнародному стандарту ISO 27001.</w:t>
      </w:r>
      <w:r/>
    </w:p>
    <w:p>
      <w:pPr>
        <w:numPr>
          <w:ilvl w:val="0"/>
          <w:numId w:val="20"/>
        </w:numPr>
        <w:ind w:left="0" w:firstLine="426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має бути доданий до переліку операторів Національної системи конфіденційного зв’язку (НСКЗ).</w:t>
      </w:r>
      <w:r/>
    </w:p>
    <w:p>
      <w:pPr>
        <w:numPr>
          <w:ilvl w:val="0"/>
          <w:numId w:val="20"/>
        </w:numPr>
        <w:ind w:left="0" w:firstLine="426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у складі т</w:t>
      </w:r>
      <w:r>
        <w:rPr>
          <w:rFonts w:ascii="Times New Roman" w:hAnsi="Times New Roman" w:cs="Times New Roman"/>
          <w:sz w:val="24"/>
          <w:szCs w:val="24"/>
        </w:rPr>
        <w:t xml:space="preserve">ендерної пропозиції повинен надати Повідомлення про включення Учасника до Переліку операторів НСКЗ, які мають право надавати наступні види діяльності: надання в користування цифрових каналів зв’язку та надання послуг захищеного доступу до мережі Інтернет.»</w:t>
      </w:r>
      <w:r/>
    </w:p>
    <w:p>
      <w:pPr>
        <w:numPr>
          <w:ilvl w:val="0"/>
          <w:numId w:val="20"/>
        </w:numPr>
        <w:ind w:left="0" w:firstLine="426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має забезпечити, на період дії Договору надання послуг протягом 24 годин на добу 7 днів на тиждень. </w:t>
      </w:r>
      <w:r/>
    </w:p>
    <w:p>
      <w:pPr>
        <w:numPr>
          <w:ilvl w:val="0"/>
          <w:numId w:val="20"/>
        </w:numPr>
        <w:ind w:left="0" w:firstLine="426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мати цілодобову службу технічної підтримки.</w:t>
      </w:r>
      <w:r/>
    </w:p>
    <w:p>
      <w:pPr>
        <w:numPr>
          <w:ilvl w:val="0"/>
          <w:numId w:val="20"/>
        </w:numPr>
        <w:ind w:left="0" w:firstLine="426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мати можливість надання послуги динамічного розподілу маршрутизації з різноманітним рівнем швидкості до внутрішніх ресурсів Учасника  та світових ресурсів.</w:t>
      </w:r>
      <w:r/>
    </w:p>
    <w:p>
      <w:pPr>
        <w:numPr>
          <w:ilvl w:val="0"/>
          <w:numId w:val="20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Забезпечення за умови різкого збільшення трафіку тимчасового підвищення пропускної здатності каналу доступу до мереж та ресурсів.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tbl>
      <w:tblPr>
        <w:tblW w:w="4853" w:type="pct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8"/>
        <w:gridCol w:w="3958"/>
      </w:tblGrid>
      <w:tr>
        <w:trPr>
          <w:trHeight w:val="1212"/>
        </w:trPr>
        <w:tc>
          <w:tcPr>
            <w:shd w:val="clear" w:color="auto" w:fill="auto"/>
            <w:tcW w:w="30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</w:t>
            </w:r>
            <w:r/>
          </w:p>
        </w:tc>
        <w:tc>
          <w:tcPr>
            <w:shd w:val="clear" w:color="auto" w:fill="auto"/>
            <w:tcW w:w="25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Адреса підключення</w:t>
            </w:r>
            <w:r/>
          </w:p>
        </w:tc>
        <w:tc>
          <w:tcPr>
            <w:shd w:val="clear" w:color="auto" w:fill="auto"/>
            <w:tcW w:w="21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Швидкість</w:t>
            </w:r>
            <w:r/>
          </w:p>
        </w:tc>
      </w:tr>
      <w:tr>
        <w:trPr>
          <w:trHeight w:val="231"/>
        </w:trPr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/>
          </w:p>
        </w:tc>
        <w:tc>
          <w:tcPr>
            <w:tcW w:w="25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pacing w:val="-5"/>
                <w:sz w:val="24"/>
                <w:szCs w:val="24"/>
                <w:shd w:val="clear" w:color="auto" w:fill="ffffff"/>
              </w:rPr>
              <w:t xml:space="preserve">60000, Україна, Чернівецька обл., Хотинський р-н, Хотин, Козацької Слави, 4-а,</w:t>
            </w:r>
            <w:r/>
          </w:p>
        </w:tc>
        <w:tc>
          <w:tcPr>
            <w:tcW w:w="21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 Мбіт/с</w:t>
            </w:r>
            <w:r/>
          </w:p>
        </w:tc>
      </w:tr>
      <w:tr>
        <w:trPr>
          <w:trHeight w:val="231"/>
        </w:trPr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/>
          </w:p>
        </w:tc>
        <w:tc>
          <w:tcPr>
            <w:tcW w:w="25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212529"/>
                <w:spacing w:val="-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pacing w:val="-5"/>
                <w:sz w:val="24"/>
                <w:szCs w:val="24"/>
                <w:shd w:val="clear" w:color="auto" w:fill="ffffff"/>
              </w:rPr>
              <w:t xml:space="preserve">76007, Україна, Івано-Франківська обл., -, Івано-Франківськ, Хмельницького Богдана, 92 </w:t>
            </w:r>
            <w:r/>
          </w:p>
        </w:tc>
        <w:tc>
          <w:tcPr>
            <w:tcW w:w="21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 Мбіт/с </w:t>
            </w:r>
            <w:r/>
          </w:p>
        </w:tc>
      </w:tr>
    </w:tbl>
    <w:p>
      <w:pPr>
        <w:ind w:right="-79"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711"/>
        <w:tblW w:w="9356" w:type="dxa"/>
        <w:tblInd w:w="-147" w:type="dxa"/>
        <w:tblCellMar>
          <w:left w:w="31" w:type="dxa"/>
          <w:top w:w="89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5948"/>
        <w:gridCol w:w="2840"/>
      </w:tblGrid>
      <w:tr>
        <w:trPr>
          <w:trHeight w:val="8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56" w:right="33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з/ п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788" w:type="dxa"/>
            <w:vAlign w:val="center"/>
            <w:textDirection w:val="lrTb"/>
            <w:noWrap w:val="false"/>
          </w:tcPr>
          <w:p>
            <w:pPr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Найменування технічних параметрів </w:t>
            </w:r>
            <w:r/>
          </w:p>
        </w:tc>
      </w:tr>
      <w:tr>
        <w:trPr>
          <w:trHeight w:val="2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 надання сервісу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24х7х365</w:t>
            </w:r>
            <w:r/>
          </w:p>
        </w:tc>
      </w:tr>
      <w:tr>
        <w:trPr>
          <w:trHeight w:val="1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 роботи служби експлуатації Оператора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24х7х365</w:t>
            </w:r>
            <w:r/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Максимальний час для аварійної недоступності послуг (надалі – «АНП»)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24 годин</w:t>
            </w:r>
            <w:r/>
          </w:p>
        </w:tc>
      </w:tr>
      <w:tr>
        <w:trPr>
          <w:trHeight w:val="3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Повідомлення про проведення запланованої недоступності послуг (наділ – «ЗНП») за робочих днів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</w:tr>
      <w:tr>
        <w:trPr>
          <w:trHeight w:val="1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Проміжок часу для проведення ЗНП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ind w:left="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23:00-08:00</w:t>
            </w:r>
            <w:r/>
          </w:p>
        </w:tc>
      </w:tr>
      <w:tr>
        <w:trPr>
          <w:trHeight w:val="1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Загальний час проведення ЗНП, не більше на  місяць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год.</w:t>
            </w:r>
            <w:r/>
          </w:p>
        </w:tc>
      </w:tr>
      <w:tr>
        <w:trPr>
          <w:trHeight w:val="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тривалість ЗНП, не більше на рік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год.</w:t>
            </w:r>
            <w:r/>
          </w:p>
        </w:tc>
      </w:tr>
      <w:tr>
        <w:trPr>
          <w:trHeight w:val="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виділення окремого телефонного номеру для підтримки сервісу SLA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Ні</w:t>
            </w:r>
            <w:r/>
          </w:p>
        </w:tc>
      </w:tr>
      <w:tr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Пріоритезація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вхідних дзвінків за виділеним номером для підтримки сервісу SLA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Ні</w:t>
            </w:r>
            <w:r/>
          </w:p>
        </w:tc>
      </w:tr>
      <w:tr>
        <w:trPr>
          <w:trHeight w:val="3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 w:right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виділення персонального співробітника служби технічної підтримки для підтримки сервісу SLA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Ні</w:t>
            </w:r>
            <w:r/>
          </w:p>
        </w:tc>
      </w:tr>
      <w:tr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Реагування служби технічної підтримки на звернення Абонента, не пізніше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год.</w:t>
            </w:r>
            <w:r/>
          </w:p>
        </w:tc>
      </w:tr>
      <w:tr>
        <w:trPr>
          <w:trHeight w:val="4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Повідомлення щодо відновлення  доступності послуг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подією</w:t>
            </w:r>
            <w:r/>
          </w:p>
        </w:tc>
      </w:tr>
    </w:tbl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31 067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тридцять одна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тисяч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шістдесят сім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67" w:hanging="20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17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6"/>
  </w:num>
  <w:num w:numId="17">
    <w:abstractNumId w:val="0"/>
  </w:num>
  <w:num w:numId="18">
    <w:abstractNumId w:val="18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3"/>
    <w:next w:val="683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5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5"/>
    <w:link w:val="68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3"/>
    <w:next w:val="683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3"/>
    <w:next w:val="683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3"/>
    <w:next w:val="68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3"/>
    <w:next w:val="68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3"/>
    <w:next w:val="68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3"/>
    <w:next w:val="68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3"/>
    <w:next w:val="68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3"/>
    <w:next w:val="68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5"/>
    <w:link w:val="33"/>
    <w:uiPriority w:val="10"/>
    <w:rPr>
      <w:sz w:val="48"/>
      <w:szCs w:val="48"/>
    </w:rPr>
  </w:style>
  <w:style w:type="paragraph" w:styleId="35">
    <w:name w:val="Subtitle"/>
    <w:basedOn w:val="683"/>
    <w:next w:val="68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5"/>
    <w:link w:val="35"/>
    <w:uiPriority w:val="11"/>
    <w:rPr>
      <w:sz w:val="24"/>
      <w:szCs w:val="24"/>
    </w:rPr>
  </w:style>
  <w:style w:type="paragraph" w:styleId="37">
    <w:name w:val="Quote"/>
    <w:basedOn w:val="683"/>
    <w:next w:val="68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3"/>
    <w:next w:val="68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3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5"/>
    <w:link w:val="41"/>
    <w:uiPriority w:val="99"/>
  </w:style>
  <w:style w:type="character" w:styleId="44">
    <w:name w:val="Footer Char"/>
    <w:basedOn w:val="685"/>
    <w:link w:val="694"/>
    <w:uiPriority w:val="99"/>
  </w:style>
  <w:style w:type="paragraph" w:styleId="45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4"/>
    <w:uiPriority w:val="99"/>
  </w:style>
  <w:style w:type="table" w:styleId="48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5"/>
    <w:uiPriority w:val="99"/>
    <w:unhideWhenUsed/>
    <w:rPr>
      <w:vertAlign w:val="superscript"/>
    </w:rPr>
  </w:style>
  <w:style w:type="paragraph" w:styleId="177">
    <w:name w:val="endnote text"/>
    <w:basedOn w:val="68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5"/>
    <w:uiPriority w:val="99"/>
    <w:semiHidden/>
    <w:unhideWhenUsed/>
    <w:rPr>
      <w:vertAlign w:val="superscript"/>
    </w:rPr>
  </w:style>
  <w:style w:type="paragraph" w:styleId="180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  <w:rPr>
      <w:lang w:val="uk-UA"/>
    </w:rPr>
  </w:style>
  <w:style w:type="paragraph" w:styleId="684">
    <w:name w:val="Heading 2"/>
    <w:basedOn w:val="683"/>
    <w:link w:val="703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>
    <w:name w:val="List Paragraph"/>
    <w:basedOn w:val="683"/>
    <w:link w:val="68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9" w:customStyle="1">
    <w:name w:val="Абзац списку Знак"/>
    <w:link w:val="688"/>
    <w:uiPriority w:val="34"/>
    <w:rPr>
      <w:rFonts w:ascii="Calibri" w:hAnsi="Calibri" w:eastAsia="Calibri" w:cs="Calibri"/>
      <w:lang w:eastAsia="zh-CN"/>
    </w:rPr>
  </w:style>
  <w:style w:type="table" w:styleId="690">
    <w:name w:val="Table Grid"/>
    <w:basedOn w:val="68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1" w:customStyle="1">
    <w:name w:val="Сетка таблицы2"/>
    <w:basedOn w:val="686"/>
    <w:next w:val="690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2">
    <w:name w:val="Normal (Web)"/>
    <w:basedOn w:val="683"/>
    <w:link w:val="699"/>
    <w:unhideWhenUsed/>
    <w:qFormat/>
    <w:rPr>
      <w:rFonts w:ascii="Times New Roman" w:hAnsi="Times New Roman" w:cs="Times New Roman"/>
      <w:sz w:val="24"/>
      <w:szCs w:val="24"/>
    </w:rPr>
  </w:style>
  <w:style w:type="table" w:styleId="693" w:customStyle="1">
    <w:name w:val="Сетка таблицы1"/>
    <w:basedOn w:val="686"/>
    <w:next w:val="690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4">
    <w:name w:val="Footer"/>
    <w:basedOn w:val="683"/>
    <w:link w:val="695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5" w:customStyle="1">
    <w:name w:val="Нижній колонтитул Знак"/>
    <w:basedOn w:val="685"/>
    <w:link w:val="694"/>
    <w:uiPriority w:val="99"/>
    <w:rPr>
      <w:rFonts w:ascii="Calibri" w:hAnsi="Calibri" w:eastAsia="Calibri" w:cs="Calibri"/>
      <w:lang w:eastAsia="zh-CN"/>
    </w:rPr>
  </w:style>
  <w:style w:type="paragraph" w:styleId="696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7">
    <w:name w:val="Hyperlink"/>
    <w:basedOn w:val="685"/>
    <w:uiPriority w:val="99"/>
    <w:unhideWhenUsed/>
    <w:rPr>
      <w:color w:val="0563c1" w:themeColor="hyperlink"/>
      <w:u w:val="single"/>
    </w:rPr>
  </w:style>
  <w:style w:type="character" w:styleId="698" w:customStyle="1">
    <w:name w:val="xfm_93972720"/>
    <w:basedOn w:val="685"/>
  </w:style>
  <w:style w:type="character" w:styleId="699" w:customStyle="1">
    <w:name w:val="Звичайний (веб) Знак"/>
    <w:link w:val="692"/>
    <w:qFormat/>
    <w:rPr>
      <w:rFonts w:ascii="Times New Roman" w:hAnsi="Times New Roman" w:cs="Times New Roman"/>
      <w:sz w:val="24"/>
      <w:szCs w:val="24"/>
      <w:lang w:val="uk-UA"/>
    </w:rPr>
  </w:style>
  <w:style w:type="paragraph" w:styleId="700">
    <w:name w:val="Body Text 2"/>
    <w:basedOn w:val="683"/>
    <w:link w:val="70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1" w:customStyle="1">
    <w:name w:val="Основний текст 2 Знак"/>
    <w:basedOn w:val="685"/>
    <w:link w:val="70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3" w:customStyle="1">
    <w:name w:val="Заголовок 2 Знак"/>
    <w:basedOn w:val="685"/>
    <w:link w:val="684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4">
    <w:name w:val="No Spacing"/>
    <w:link w:val="705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5" w:customStyle="1">
    <w:name w:val="Без інтервалів Знак"/>
    <w:basedOn w:val="685"/>
    <w:link w:val="704"/>
    <w:uiPriority w:val="1"/>
    <w:rPr>
      <w:rFonts w:ascii="Calibri" w:hAnsi="Calibri" w:eastAsia="Calibri" w:cs="Times New Roman"/>
      <w:lang w:val="uk-UA"/>
    </w:rPr>
  </w:style>
  <w:style w:type="character" w:styleId="706" w:customStyle="1">
    <w:name w:val="Другое_"/>
    <w:basedOn w:val="685"/>
    <w:link w:val="707"/>
    <w:rPr>
      <w:rFonts w:ascii="Calibri" w:hAnsi="Calibri" w:eastAsia="Calibri" w:cs="Calibri"/>
      <w:sz w:val="20"/>
      <w:szCs w:val="20"/>
    </w:rPr>
  </w:style>
  <w:style w:type="paragraph" w:styleId="707" w:customStyle="1">
    <w:name w:val="Другое"/>
    <w:basedOn w:val="683"/>
    <w:link w:val="706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08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09" w:customStyle="1">
    <w:name w:val="Основной текст (2)_"/>
    <w:basedOn w:val="685"/>
    <w:link w:val="710"/>
    <w:rPr>
      <w:rFonts w:eastAsia="Times New Roman" w:cs="Times New Roman"/>
      <w:shd w:val="clear" w:color="auto" w:fill="ffffff"/>
    </w:rPr>
  </w:style>
  <w:style w:type="paragraph" w:styleId="710" w:customStyle="1">
    <w:name w:val="Основной текст (2)"/>
    <w:basedOn w:val="683"/>
    <w:link w:val="709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table" w:styleId="711" w:customStyle="1">
    <w:name w:val="Сітка таблиці1"/>
    <w:pPr>
      <w:spacing w:after="0" w:line="240" w:lineRule="auto"/>
    </w:pPr>
    <w:rPr>
      <w:rFonts w:eastAsiaTheme="minorEastAsia"/>
      <w:lang w:val="uk-UA"/>
    </w:rPr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126</cp:revision>
  <dcterms:created xsi:type="dcterms:W3CDTF">2022-11-01T12:47:00Z</dcterms:created>
  <dcterms:modified xsi:type="dcterms:W3CDTF">2023-08-08T18:12:42Z</dcterms:modified>
</cp:coreProperties>
</file>