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6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Назва пред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Технічний нагляд за проведенням робіт на об’єкті ДУ ЦІТ МВС України, м. Київ, вул. Волинська, 26 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Лотова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закупівля) за кодом CPV за ЄЗС ДК 021:2015: 71240000-2 «Архітектурні, інженерні та планувальні послуги»</w:t>
      </w:r>
      <w:r/>
    </w:p>
    <w:p>
      <w:pPr>
        <w:pStyle w:val="71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012870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Технічний нагляд за проведенням робіт на об’єкті ДУ ЦІТ МВС України, м. Київ, вул. Волинська, 26 (</w:t>
      </w:r>
      <w:r>
        <w:rPr>
          <w:rFonts w:ascii="Times New Roman" w:hAnsi="Times New Roman" w:cs="Times New Roman"/>
          <w:sz w:val="24"/>
          <w:szCs w:val="24"/>
        </w:rPr>
        <w:t xml:space="preserve">Лотова</w:t>
      </w:r>
      <w:r>
        <w:rPr>
          <w:rFonts w:ascii="Times New Roman" w:hAnsi="Times New Roman" w:cs="Times New Roman"/>
          <w:sz w:val="24"/>
          <w:szCs w:val="24"/>
        </w:rPr>
        <w:t xml:space="preserve"> закупівля) за кодом CPV за ЄЗС ДК 021:2015: 71240000-2 «Архітектурні, інженерні та планувальні послуги»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/>
      <w:bookmarkStart w:id="0" w:name="_Hlk157667223"/>
      <w:r>
        <w:rPr>
          <w:b/>
          <w:color w:val="000000"/>
        </w:rPr>
        <w:t xml:space="preserve">Об'єкт, за яким має бути здійснено технічний нагляд, відноситься до класу наслідків:</w:t>
      </w:r>
      <w:r>
        <w:rPr>
          <w:color w:val="000000"/>
        </w:rPr>
        <w:t xml:space="preserve"> СС1.</w:t>
      </w:r>
      <w:r/>
    </w:p>
    <w:p>
      <w:pPr>
        <w:pStyle w:val="727"/>
        <w:ind w:firstLine="567"/>
        <w:spacing w:after="0"/>
        <w:rPr>
          <w:b/>
          <w:color w:val="000000"/>
        </w:rPr>
      </w:pPr>
      <w:r>
        <w:rPr>
          <w:b/>
          <w:color w:val="000000"/>
        </w:rPr>
        <w:t xml:space="preserve">Місце надання послуг:</w:t>
      </w:r>
      <w:r>
        <w:rPr>
          <w:color w:val="000000"/>
        </w:rPr>
        <w:t xml:space="preserve"> </w:t>
      </w:r>
      <w:r>
        <w:t xml:space="preserve">м. Київ, вул. Волинська, 26</w:t>
      </w:r>
      <w:r/>
    </w:p>
    <w:p>
      <w:pPr>
        <w:pStyle w:val="727"/>
        <w:ind w:firstLine="567"/>
        <w:spacing w:after="0"/>
        <w:rPr>
          <w:color w:val="000000"/>
        </w:rPr>
      </w:pPr>
      <w:r>
        <w:rPr>
          <w:b/>
          <w:color w:val="000000"/>
        </w:rPr>
        <w:t xml:space="preserve">Термін виконання робіт:</w:t>
      </w:r>
      <w:r>
        <w:rPr>
          <w:color w:val="000000"/>
        </w:rPr>
        <w:t xml:space="preserve"> до 20 травня 2024 року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Учасник зобов’язаний: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Перевіряти наявність документів, що засвідчують якість матеріалів, виробів та конструкцій, які надходять до місця виконання будівельних робіт (технічних паспортів, сертифікатів відповідності, результатів лабораторних випробувань тощо);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Терміново повідомляти Замовника про виявлені порушення та вимагати їх усунення від підрядника, який здійснює будівництво Об'єкта;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Контролювати відповідність обсягів та якості виконаних робіт, що надаються до оплати підрядником, який здійснює будівництво Об'єкта, проектно-кошторисній документації та умовам договору </w:t>
      </w:r>
      <w:r>
        <w:rPr>
          <w:color w:val="000000"/>
        </w:rPr>
        <w:t xml:space="preserve">підряду</w:t>
      </w:r>
      <w:r>
        <w:rPr>
          <w:color w:val="000000"/>
        </w:rPr>
        <w:t xml:space="preserve">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Здійснювати нагляд за комплектністю та правильністю ведення встановленої виконавчої, технічної документації; перевіряти правильність та своєчасність її складання. До надання для підписання Замовнику </w:t>
      </w:r>
      <w:r>
        <w:rPr>
          <w:color w:val="000000"/>
        </w:rPr>
        <w:t xml:space="preserve">акта</w:t>
      </w:r>
      <w:r>
        <w:rPr>
          <w:color w:val="000000"/>
        </w:rPr>
        <w:t xml:space="preserve"> здачі-приймання виконаних робіт по здійсненню технічного нагляду по Об’єкту передати Замовнику повний комплект виконавчої документації на виконані Підрядником роботи;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Здійснювати фотофіксацію основних видів будівельних робіт, відображених в актах приймання виконаних будівельних робіт за формою № КБ-2в або акту змонтованого обладнання тощо. За результатами фотофіксації виготовляти та передавати у зручній формі Замовнику </w:t>
      </w:r>
      <w:r>
        <w:rPr>
          <w:color w:val="000000"/>
        </w:rPr>
        <w:t xml:space="preserve">фотозвіти</w:t>
      </w:r>
      <w:r>
        <w:rPr>
          <w:color w:val="000000"/>
        </w:rPr>
        <w:t xml:space="preserve"> (</w:t>
      </w:r>
      <w:r>
        <w:rPr>
          <w:color w:val="000000"/>
        </w:rPr>
        <w:t xml:space="preserve">фототаблиці</w:t>
      </w:r>
      <w:r>
        <w:rPr>
          <w:color w:val="000000"/>
        </w:rPr>
        <w:t xml:space="preserve">) до кожного </w:t>
      </w:r>
      <w:r>
        <w:rPr>
          <w:color w:val="000000"/>
        </w:rPr>
        <w:t xml:space="preserve">акта</w:t>
      </w:r>
      <w:r>
        <w:rPr>
          <w:color w:val="000000"/>
        </w:rPr>
        <w:t xml:space="preserve"> форми № КБ-2в та </w:t>
      </w:r>
      <w:r>
        <w:rPr>
          <w:color w:val="000000"/>
        </w:rPr>
        <w:t xml:space="preserve">акта</w:t>
      </w:r>
      <w:r>
        <w:rPr>
          <w:color w:val="000000"/>
        </w:rPr>
        <w:t xml:space="preserve"> змонтованого обладнання;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Вести облік обсягів і вартості прийнятих і оплачених робіт, а також будівельних робіт, виконаних підрядником з недоліками;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Контролювати виконання підрядником, який здійснює будівництво Об'єкта, вказі</w:t>
      </w:r>
      <w:r>
        <w:rPr>
          <w:color w:val="000000"/>
        </w:rPr>
        <w:t xml:space="preserve">вок і приписів технічного нагляду і Замовника, своєчасність усунення підрядником дефектів (недоліків, недоробок тощо), виявлених як під час прийому окремих видів (етапів) робіт, конструктивних елементів тощо, так і під час введення  Об'єкта в експлуатацію;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Здійснювати контроль за дотриманням підрядником, який здійснює будівництво Об'єкта, затвердженого Замовником Календарного графіку виконання робіт;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Мати встановлені чинним законодавством України дозвільні документи на здійснення технічного нагляду та забезпечити їх дійсність протягом всього строку дії Договору;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Зупиняти виконання будівельних робіт у разі виявле</w:t>
      </w:r>
      <w:r>
        <w:rPr>
          <w:color w:val="000000"/>
        </w:rPr>
        <w:t xml:space="preserve">ння понаднормативної деформації Об’єкта або загрози обвалу конструкцій та вживати невідкладних заходів для запобігання виникненню аварії. У такому випадку Виконавець зобов’язаний протягом 1 (одного) календарного дня повідомити Замовника про таке зупинення;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Повідомляти Замовника в письмовій формі про неможливість виконання умов Договору із обов’язковим зазначенням причин та наданням відповідного документального підтвердження;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Нести відповідальність за якість виконаних Робіт та взятих на себе зобов’язань за Договором;</w:t>
      </w:r>
      <w:r/>
    </w:p>
    <w:p>
      <w:pPr>
        <w:pStyle w:val="727"/>
        <w:ind w:firstLine="567"/>
        <w:jc w:val="both"/>
        <w:spacing w:after="0"/>
        <w:rPr>
          <w:color w:val="000000"/>
        </w:rPr>
      </w:pPr>
      <w:r>
        <w:rPr>
          <w:color w:val="000000"/>
        </w:rPr>
        <w:t xml:space="preserve">- Виконувати інші функції, що пов’язані з технічним наглядом на відповідному Об’єкті та передбачені Договором</w:t>
      </w:r>
      <w:r>
        <w:rPr>
          <w:color w:val="000000"/>
        </w:rPr>
        <w:t xml:space="preserve">, Цивільним і Господарським кодексами України, «Порядком здійснення технічного нагляду під час будівництва об'єкта архітектури», затвердженим Постановою Кабінету Міністрів України від 11 липня 2007 року № 903 та іншими актами чинного законодавства України.</w:t>
      </w:r>
      <w:r/>
    </w:p>
    <w:p>
      <w:pPr>
        <w:contextualSpacing/>
        <w:ind w:firstLine="567"/>
        <w:jc w:val="both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Вартість здійснення технічного нагляду розраховується Учасником відповідно до Додатку 3 (Розрахунок договірної ціни надання послуг зі здійснення технічного нагляду), наказу Міністерства розвитку громад та територій України</w:t>
      </w:r>
      <w:r>
        <w:rPr>
          <w:rFonts w:ascii="Times New Roman" w:hAnsi="Times New Roman" w:cs="Times New Roman"/>
          <w:sz w:val="24"/>
          <w:szCs w:val="24"/>
        </w:rPr>
        <w:t xml:space="preserve"> від 13.04.2020 № 89 «Про затвердження примірних форм про здійснення технічного нагляду та про надання інженерно-консультаційних послуг у будівництві». Учаснику у складі тендерної пропозиції необхідно надати сам розрахунок за підписом уповноваженої особи. 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Обсяг послуг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 яким має бути здійснено технічний нагляд, викладено в тендерній документації на закупівлю оголошену в електронній системі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prozorro.gov.ua, </w:t>
      </w:r>
      <w:r>
        <w:rPr>
          <w:rFonts w:ascii="Times New Roman" w:hAnsi="Times New Roman" w:cs="Times New Roman"/>
          <w:sz w:val="24"/>
          <w:szCs w:val="24"/>
        </w:rPr>
        <w:t xml:space="preserve">унікальний номер оголошення про проведення конкурентної процедури закупівлі, присвоєного електронною системою </w:t>
      </w:r>
      <w:r>
        <w:rPr>
          <w:rFonts w:ascii="Times New Roman" w:hAnsi="Times New Roman" w:cs="Times New Roman"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ВІДПОВІДНО ДО ЛОТІВ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End w:id="0"/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412 960,00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дванадцять тисяч дев’ятсот шістдесят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послуг із здійснення технічного нагляду за роботами з капітального ремонту на об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’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єктах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ДУ ЦІТ МВС України розрахована відповідно до вимог пункту 4.32 Настанови з 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значення вартості будівництва, яка затверджена наказом Міністерства розвитку громад, територій та інфраструктури України від 01.11.2021 № 281, а саме: вартість технічного нагляду становить до 1,5 % від підсумку глав 1-9 зведеного кошторисного розрахунку об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’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єкта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будівництва.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Враховуючи викладене очікувана вартість послуг із здійснення технічного нагляду за роботами з капітального ремонту на об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’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єктах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ДУ ЦІТ МВС України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адресою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м. Київ, вул. Волинська, 26 в розрізі об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’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єктів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складає: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Капітальний ремонт будівлі закритого складу літ. «М», м. Київ, вул. Волинська, 26 – 218 940,00 грн;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Капітальний ремонт будівлі складу літ. «О», м. Київ, вул. Волинська, 26 – 19 580,00 грн;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Капітальний ремонт будівлі теплопункту літ. «Н», м. Київ, вул. Волинська, 26 – 5 340,00 грн;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Капітальний ремонт будівлі прохідної літ. «З», м. Київ, вул. Волинська, 26 – 51 620,00 грн;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Капітальний ремонт будівлі лісопильного цеху та пилорами літ. «Л», м. Київ, вул. Волинська, 26 – 12 460,00 грн;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Капітальний ремонт будівлі складу літ. «Й», м. Київ, вул. Волинська, 26 – 5 340,00 грн;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Капітальний ремонт будівлі складу інертних газів та РБУ літ. «Е», м. Київ, вул. Волинська, 26 – 23 140,00 грн;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Капітальний ремонт будівлі слюсарної майстерні літ. «Р», м. Київ, вул. Волинська, 26 – 76 540,00 грн.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1"/>
  </w:num>
  <w:num w:numId="17">
    <w:abstractNumId w:val="0"/>
  </w:num>
  <w:num w:numId="18">
    <w:abstractNumId w:val="34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8"/>
  </w:num>
  <w:num w:numId="33">
    <w:abstractNumId w:val="15"/>
  </w:num>
  <w:num w:numId="34">
    <w:abstractNumId w:val="13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20"/>
    <w:link w:val="71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0"/>
    <w:link w:val="71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0"/>
    <w:link w:val="71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0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0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0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0"/>
    <w:link w:val="41"/>
    <w:uiPriority w:val="99"/>
  </w:style>
  <w:style w:type="character" w:styleId="44">
    <w:name w:val="Footer Char"/>
    <w:basedOn w:val="720"/>
    <w:link w:val="729"/>
    <w:uiPriority w:val="99"/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0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0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rPr>
      <w:lang w:val="uk-UA"/>
    </w:rPr>
  </w:style>
  <w:style w:type="paragraph" w:styleId="716">
    <w:name w:val="Heading 1"/>
    <w:basedOn w:val="715"/>
    <w:next w:val="715"/>
    <w:link w:val="76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17">
    <w:name w:val="Heading 2"/>
    <w:basedOn w:val="715"/>
    <w:link w:val="73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18">
    <w:name w:val="Heading 3"/>
    <w:basedOn w:val="715"/>
    <w:next w:val="715"/>
    <w:link w:val="755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19">
    <w:name w:val="Heading 4"/>
    <w:basedOn w:val="715"/>
    <w:next w:val="715"/>
    <w:link w:val="756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List Paragraph"/>
    <w:basedOn w:val="715"/>
    <w:link w:val="7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4" w:customStyle="1">
    <w:name w:val="Абзац списку Знак"/>
    <w:link w:val="723"/>
    <w:uiPriority w:val="34"/>
    <w:qFormat/>
    <w:rPr>
      <w:rFonts w:ascii="Calibri" w:hAnsi="Calibri" w:eastAsia="Calibri" w:cs="Calibri"/>
      <w:lang w:eastAsia="zh-CN"/>
    </w:rPr>
  </w:style>
  <w:style w:type="table" w:styleId="725">
    <w:name w:val="Table Grid"/>
    <w:basedOn w:val="7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Сетка таблицы2"/>
    <w:basedOn w:val="721"/>
    <w:next w:val="725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7">
    <w:name w:val="Normal (Web)"/>
    <w:basedOn w:val="715"/>
    <w:link w:val="734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8" w:customStyle="1">
    <w:name w:val="Сетка таблицы1"/>
    <w:basedOn w:val="721"/>
    <w:next w:val="725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9">
    <w:name w:val="Footer"/>
    <w:basedOn w:val="715"/>
    <w:link w:val="730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0" w:customStyle="1">
    <w:name w:val="Нижній колонтитул Знак"/>
    <w:basedOn w:val="720"/>
    <w:link w:val="729"/>
    <w:uiPriority w:val="99"/>
    <w:rPr>
      <w:rFonts w:ascii="Calibri" w:hAnsi="Calibri" w:eastAsia="Calibri" w:cs="Calibri"/>
      <w:lang w:eastAsia="zh-CN"/>
    </w:rPr>
  </w:style>
  <w:style w:type="paragraph" w:styleId="731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2">
    <w:name w:val="Hyperlink"/>
    <w:basedOn w:val="720"/>
    <w:uiPriority w:val="99"/>
    <w:unhideWhenUsed/>
    <w:rPr>
      <w:color w:val="0563c1" w:themeColor="hyperlink"/>
      <w:u w:val="single"/>
    </w:rPr>
  </w:style>
  <w:style w:type="character" w:styleId="733" w:customStyle="1">
    <w:name w:val="xfm_93972720"/>
    <w:basedOn w:val="720"/>
  </w:style>
  <w:style w:type="character" w:styleId="734" w:customStyle="1">
    <w:name w:val="Звичайний (веб) Знак"/>
    <w:link w:val="727"/>
    <w:qFormat/>
    <w:rPr>
      <w:rFonts w:ascii="Times New Roman" w:hAnsi="Times New Roman" w:cs="Times New Roman"/>
      <w:sz w:val="24"/>
      <w:szCs w:val="24"/>
      <w:lang w:val="uk-UA"/>
    </w:rPr>
  </w:style>
  <w:style w:type="paragraph" w:styleId="735">
    <w:name w:val="Body Text 2"/>
    <w:basedOn w:val="715"/>
    <w:link w:val="73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6" w:customStyle="1">
    <w:name w:val="Основний текст 2 Знак"/>
    <w:basedOn w:val="720"/>
    <w:link w:val="73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7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8" w:customStyle="1">
    <w:name w:val="Заголовок 2 Знак"/>
    <w:basedOn w:val="720"/>
    <w:link w:val="71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9">
    <w:name w:val="No Spacing"/>
    <w:link w:val="740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0" w:customStyle="1">
    <w:name w:val="Без інтервалів Знак"/>
    <w:basedOn w:val="720"/>
    <w:link w:val="739"/>
    <w:uiPriority w:val="1"/>
    <w:rPr>
      <w:rFonts w:ascii="Calibri" w:hAnsi="Calibri" w:eastAsia="Calibri" w:cs="Times New Roman"/>
      <w:lang w:val="uk-UA"/>
    </w:rPr>
  </w:style>
  <w:style w:type="character" w:styleId="741" w:customStyle="1">
    <w:name w:val="Другое_"/>
    <w:basedOn w:val="720"/>
    <w:link w:val="742"/>
    <w:rPr>
      <w:rFonts w:ascii="Calibri" w:hAnsi="Calibri" w:eastAsia="Calibri" w:cs="Calibri"/>
      <w:sz w:val="20"/>
      <w:szCs w:val="20"/>
    </w:rPr>
  </w:style>
  <w:style w:type="paragraph" w:styleId="742" w:customStyle="1">
    <w:name w:val="Другое"/>
    <w:basedOn w:val="715"/>
    <w:link w:val="741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3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4" w:customStyle="1">
    <w:name w:val="Основной текст (2)_"/>
    <w:basedOn w:val="720"/>
    <w:link w:val="745"/>
    <w:rPr>
      <w:rFonts w:eastAsia="Times New Roman" w:cs="Times New Roman"/>
      <w:shd w:val="clear" w:color="auto" w:fill="ffffff"/>
    </w:rPr>
  </w:style>
  <w:style w:type="paragraph" w:styleId="745" w:customStyle="1">
    <w:name w:val="Основной текст (2)"/>
    <w:basedOn w:val="715"/>
    <w:link w:val="744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6" w:customStyle="1">
    <w:name w:val="Текст у виносці Знак"/>
    <w:basedOn w:val="720"/>
    <w:link w:val="74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7">
    <w:name w:val="Balloon Text"/>
    <w:basedOn w:val="715"/>
    <w:link w:val="746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8" w:customStyle="1">
    <w:name w:val="Текст у виносці Знак1"/>
    <w:basedOn w:val="720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9" w:customStyle="1">
    <w:name w:val="T23"/>
    <w:rPr>
      <w:rFonts w:hint="default" w:ascii="Times New Roman" w:hAnsi="Times New Roman" w:eastAsia="Times New Roman1" w:cs="Times New Roman"/>
    </w:rPr>
  </w:style>
  <w:style w:type="paragraph" w:styleId="750" w:customStyle="1">
    <w:name w:val="Абзац списку1"/>
    <w:basedOn w:val="71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1" w:customStyle="1">
    <w:name w:val="markedcontent"/>
    <w:basedOn w:val="720"/>
  </w:style>
  <w:style w:type="paragraph" w:styleId="752">
    <w:name w:val="annotation text"/>
    <w:basedOn w:val="715"/>
    <w:link w:val="753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3" w:customStyle="1">
    <w:name w:val="Текст примітки Знак"/>
    <w:basedOn w:val="720"/>
    <w:link w:val="75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4" w:customStyle="1">
    <w:name w:val="docdata"/>
    <w:basedOn w:val="720"/>
  </w:style>
  <w:style w:type="character" w:styleId="755" w:customStyle="1">
    <w:name w:val="Заголовок 3 Знак"/>
    <w:basedOn w:val="720"/>
    <w:link w:val="718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6" w:customStyle="1">
    <w:name w:val="Заголовок 4 Знак"/>
    <w:basedOn w:val="720"/>
    <w:link w:val="719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57" w:customStyle="1">
    <w:name w:val="name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8" w:customStyle="1">
    <w:name w:val="cont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59">
    <w:name w:val="Strong"/>
    <w:basedOn w:val="720"/>
    <w:uiPriority w:val="22"/>
    <w:qFormat/>
    <w:rPr>
      <w:b/>
      <w:bCs/>
    </w:rPr>
  </w:style>
  <w:style w:type="character" w:styleId="760" w:customStyle="1">
    <w:name w:val="Заголовок 1 Знак"/>
    <w:basedOn w:val="720"/>
    <w:link w:val="71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153</cp:revision>
  <dcterms:created xsi:type="dcterms:W3CDTF">2022-11-01T12:47:00Z</dcterms:created>
  <dcterms:modified xsi:type="dcterms:W3CDTF">2024-03-18T09:45:13Z</dcterms:modified>
</cp:coreProperties>
</file>