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6"/>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rPr>
        <w:t xml:space="preserve">Закупівля системи зберігання енергії за ДК 021:2015: 31150000-2 Баласти для розрядних ламп чи трубок</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6</w:t>
      </w:r>
      <w:r>
        <w:rPr>
          <w:rFonts w:ascii="Times New Roman" w:hAnsi="Times New Roman" w:cs="Times New Roman"/>
          <w:sz w:val="24"/>
          <w:szCs w:val="24"/>
        </w:rPr>
        <w:t xml:space="preserve">-</w:t>
      </w:r>
      <w:r>
        <w:rPr>
          <w:rFonts w:ascii="Times New Roman" w:hAnsi="Times New Roman" w:cs="Times New Roman"/>
          <w:sz w:val="24"/>
          <w:szCs w:val="24"/>
        </w:rPr>
        <w:t xml:space="preserve">2</w:t>
      </w:r>
      <w:r>
        <w:rPr>
          <w:rFonts w:ascii="Times New Roman" w:hAnsi="Times New Roman" w:cs="Times New Roman"/>
          <w:sz w:val="24"/>
          <w:szCs w:val="24"/>
        </w:rPr>
        <w:t xml:space="preserve">7</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3228</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bCs/>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cs="Times New Roman"/>
          <w:bCs/>
          <w:sz w:val="24"/>
          <w:szCs w:val="24"/>
        </w:rPr>
        <w:t xml:space="preserve">Закупівля системи зберігання енергії за ДК 021:2015: 31150000-2 Баласти для розрядних ламп чи трубок</w:t>
      </w:r>
      <w:r/>
    </w:p>
    <w:p>
      <w:pPr>
        <w:spacing w:line="240" w:lineRule="auto"/>
        <w:rPr>
          <w:rFonts w:ascii="Times New Roman" w:hAnsi="Times New Roman" w:cs="Times New Roman"/>
          <w:sz w:val="24"/>
          <w:szCs w:val="24"/>
        </w:rPr>
      </w:pPr>
      <w:r>
        <w:rPr>
          <w:rFonts w:ascii="Times New Roman" w:hAnsi="Times New Roman" w:cs="Times New Roman"/>
          <w:sz w:val="24"/>
          <w:szCs w:val="24"/>
        </w:rPr>
      </w:r>
      <w:r/>
    </w:p>
    <w:p>
      <w:pPr>
        <w:ind w:firstLine="357"/>
        <w:jc w:val="center"/>
        <w:spacing w:after="0" w:line="240" w:lineRule="auto"/>
        <w:rPr>
          <w:rFonts w:ascii="Times New Roman" w:hAnsi="Times New Roman" w:cs="Times New Roman"/>
          <w:b/>
          <w:color w:val="000000"/>
          <w:sz w:val="24"/>
          <w:szCs w:val="24"/>
        </w:rPr>
      </w:pPr>
      <w:r/>
      <w:bookmarkStart w:id="0" w:name="_Hlk163655665"/>
      <w:r>
        <w:rPr>
          <w:rFonts w:ascii="Times New Roman" w:hAnsi="Times New Roman" w:cs="Times New Roman"/>
          <w:b/>
          <w:color w:val="000000"/>
          <w:sz w:val="24"/>
          <w:szCs w:val="24"/>
        </w:rPr>
        <w:t xml:space="preserve">ТЕХНІЧНІ ВИМОГИ</w:t>
      </w:r>
      <w:r/>
    </w:p>
    <w:p>
      <w:pPr>
        <w:ind w:firstLine="357"/>
        <w:jc w:val="center"/>
        <w:spacing w:after="0" w:line="240" w:lineRule="auto"/>
        <w:rPr>
          <w:rFonts w:ascii="Times New Roman" w:hAnsi="Times New Roman" w:cs="Times New Roman"/>
          <w:b/>
          <w:color w:val="000000"/>
          <w:sz w:val="24"/>
          <w:szCs w:val="24"/>
        </w:rPr>
      </w:pPr>
      <w:r>
        <w:rPr>
          <w:rFonts w:ascii="Times New Roman" w:hAnsi="Times New Roman" w:cs="Times New Roman"/>
          <w:b/>
          <w:color w:val="000000"/>
          <w:sz w:val="24"/>
          <w:szCs w:val="24"/>
        </w:rPr>
      </w:r>
      <w:r/>
    </w:p>
    <w:tbl>
      <w:tblPr>
        <w:tblStyle w:val="734"/>
        <w:tblW w:w="9634" w:type="dxa"/>
        <w:tblLook w:val="04A0" w:firstRow="1" w:lastRow="0" w:firstColumn="1" w:lastColumn="0" w:noHBand="0" w:noVBand="1"/>
      </w:tblPr>
      <w:tblGrid>
        <w:gridCol w:w="562"/>
        <w:gridCol w:w="5670"/>
        <w:gridCol w:w="1701"/>
        <w:gridCol w:w="1701"/>
      </w:tblGrid>
      <w:tr>
        <w:trPr/>
        <w:tc>
          <w:tcPr>
            <w:tcW w:w="562" w:type="dxa"/>
            <w:textDirection w:val="lrTb"/>
            <w:noWrap w:val="false"/>
          </w:tcPr>
          <w:p>
            <w:pPr>
              <w:pStyle w:val="736"/>
              <w:jc w:val="center"/>
              <w:rPr>
                <w:b/>
                <w:bCs/>
              </w:rPr>
            </w:pPr>
            <w:r>
              <w:rPr>
                <w:b/>
                <w:bCs/>
              </w:rPr>
              <w:t xml:space="preserve">№ п/п</w:t>
            </w:r>
            <w:r/>
          </w:p>
        </w:tc>
        <w:tc>
          <w:tcPr>
            <w:tcW w:w="5670" w:type="dxa"/>
            <w:textDirection w:val="lrTb"/>
            <w:noWrap w:val="false"/>
          </w:tcPr>
          <w:p>
            <w:pPr>
              <w:pStyle w:val="736"/>
              <w:jc w:val="center"/>
              <w:rPr>
                <w:b/>
                <w:bCs/>
              </w:rPr>
            </w:pPr>
            <w:r>
              <w:rPr>
                <w:b/>
                <w:bCs/>
              </w:rPr>
              <w:t xml:space="preserve">Назва системи</w:t>
            </w:r>
            <w:r/>
          </w:p>
        </w:tc>
        <w:tc>
          <w:tcPr>
            <w:tcW w:w="1701" w:type="dxa"/>
            <w:textDirection w:val="lrTb"/>
            <w:noWrap w:val="false"/>
          </w:tcPr>
          <w:p>
            <w:pPr>
              <w:pStyle w:val="736"/>
              <w:jc w:val="center"/>
              <w:rPr>
                <w:b/>
                <w:bCs/>
              </w:rPr>
            </w:pPr>
            <w:r>
              <w:rPr>
                <w:b/>
                <w:bCs/>
              </w:rPr>
              <w:t xml:space="preserve">Одиниця виміру</w:t>
            </w:r>
            <w:r/>
          </w:p>
        </w:tc>
        <w:tc>
          <w:tcPr>
            <w:tcW w:w="1701" w:type="dxa"/>
            <w:textDirection w:val="lrTb"/>
            <w:noWrap w:val="false"/>
          </w:tcPr>
          <w:p>
            <w:pPr>
              <w:pStyle w:val="736"/>
              <w:jc w:val="center"/>
              <w:rPr>
                <w:b/>
                <w:bCs/>
              </w:rPr>
            </w:pPr>
            <w:r>
              <w:rPr>
                <w:b/>
                <w:bCs/>
              </w:rPr>
              <w:t xml:space="preserve">Кількість</w:t>
            </w:r>
            <w:r/>
          </w:p>
        </w:tc>
      </w:tr>
      <w:tr>
        <w:trPr/>
        <w:tc>
          <w:tcPr>
            <w:tcW w:w="562" w:type="dxa"/>
            <w:vAlign w:val="center"/>
            <w:textDirection w:val="lrTb"/>
            <w:noWrap w:val="false"/>
          </w:tcPr>
          <w:p>
            <w:pPr>
              <w:pStyle w:val="736"/>
              <w:jc w:val="center"/>
              <w:rPr>
                <w:b/>
                <w:bCs/>
              </w:rPr>
            </w:pPr>
            <w:r>
              <w:rPr>
                <w:b/>
                <w:bCs/>
              </w:rPr>
              <w:t xml:space="preserve">1</w:t>
            </w:r>
            <w:r/>
          </w:p>
        </w:tc>
        <w:tc>
          <w:tcPr>
            <w:tcW w:w="5670" w:type="dxa"/>
            <w:vAlign w:val="center"/>
            <w:textDirection w:val="lrTb"/>
            <w:noWrap w:val="false"/>
          </w:tcPr>
          <w:p>
            <w:pPr>
              <w:pStyle w:val="736"/>
              <w:rPr>
                <w:b/>
                <w:bCs/>
              </w:rPr>
            </w:pPr>
            <w:r>
              <w:rPr>
                <w:b/>
                <w:lang w:val="ru-RU"/>
              </w:rPr>
              <w:t xml:space="preserve">Система зберігання енергії</w:t>
            </w:r>
            <w:r/>
          </w:p>
        </w:tc>
        <w:tc>
          <w:tcPr>
            <w:tcW w:w="1701" w:type="dxa"/>
            <w:vAlign w:val="center"/>
            <w:textDirection w:val="lrTb"/>
            <w:noWrap w:val="false"/>
          </w:tcPr>
          <w:p>
            <w:pPr>
              <w:pStyle w:val="736"/>
              <w:jc w:val="center"/>
              <w:rPr>
                <w:b/>
                <w:bCs/>
              </w:rPr>
            </w:pPr>
            <w:r>
              <w:rPr>
                <w:b/>
                <w:bCs/>
              </w:rPr>
              <w:t xml:space="preserve">шт.</w:t>
            </w:r>
            <w:r/>
          </w:p>
        </w:tc>
        <w:tc>
          <w:tcPr>
            <w:tcW w:w="1701" w:type="dxa"/>
            <w:vAlign w:val="center"/>
            <w:textDirection w:val="lrTb"/>
            <w:noWrap w:val="false"/>
          </w:tcPr>
          <w:p>
            <w:pPr>
              <w:pStyle w:val="736"/>
              <w:jc w:val="center"/>
              <w:rPr>
                <w:b/>
                <w:bCs/>
              </w:rPr>
            </w:pPr>
            <w:r>
              <w:rPr>
                <w:b/>
                <w:bCs/>
              </w:rPr>
              <w:t xml:space="preserve">1</w:t>
            </w:r>
            <w:r/>
          </w:p>
        </w:tc>
      </w:tr>
    </w:tbl>
    <w:p>
      <w:pPr>
        <w:pStyle w:val="736"/>
        <w:jc w:val="both"/>
        <w:spacing w:after="0" w:line="240" w:lineRule="auto"/>
        <w:rPr>
          <w:b/>
          <w:bCs/>
          <w:i/>
          <w:iCs/>
          <w:lang w:eastAsia="ru-RU"/>
        </w:rPr>
      </w:pPr>
      <w:r>
        <w:rPr>
          <w:b/>
          <w:bCs/>
          <w:i/>
          <w:iCs/>
          <w:lang w:eastAsia="ru-RU"/>
        </w:rPr>
      </w:r>
      <w:r/>
    </w:p>
    <w:p>
      <w:pPr>
        <w:pStyle w:val="736"/>
        <w:jc w:val="both"/>
        <w:spacing w:after="0" w:line="240" w:lineRule="auto"/>
        <w:rPr>
          <w:b/>
          <w:bCs/>
          <w:i/>
          <w:iCs/>
          <w:lang w:eastAsia="ru-RU"/>
        </w:rPr>
      </w:pPr>
      <w:r>
        <w:rPr>
          <w:b/>
          <w:bCs/>
          <w:i/>
          <w:iCs/>
          <w:lang w:eastAsia="ru-RU"/>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w:t>
      </w:r>
      <w:r>
        <w:rPr>
          <w:b/>
          <w:bCs/>
          <w:i/>
          <w:iCs/>
          <w:lang w:eastAsia="ru-RU"/>
        </w:rPr>
        <w:t xml:space="preserve">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w:t>
      </w:r>
      <w:r>
        <w:rPr>
          <w:b/>
          <w:bCs/>
          <w:i/>
          <w:iCs/>
          <w:lang w:eastAsia="ru-RU"/>
        </w:rPr>
        <w:t xml:space="preserve">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проєкту Договору до моменту його повного завершення.</w:t>
      </w:r>
      <w:r/>
    </w:p>
    <w:p>
      <w:pPr>
        <w:pStyle w:val="736"/>
        <w:jc w:val="both"/>
        <w:spacing w:after="0" w:line="240" w:lineRule="auto"/>
        <w:rPr>
          <w:b/>
          <w:bCs/>
          <w:i/>
          <w:iCs/>
          <w:lang w:eastAsia="ru-RU"/>
        </w:rPr>
      </w:pPr>
      <w:r>
        <w:rPr>
          <w:b/>
          <w:bCs/>
          <w:i/>
          <w:iCs/>
          <w:lang w:eastAsia="ru-RU"/>
        </w:rPr>
      </w:r>
      <w:r/>
    </w:p>
    <w:p>
      <w:pPr>
        <w:ind w:firstLine="567"/>
        <w:jc w:val="both"/>
        <w:spacing w:after="0" w:line="240" w:lineRule="auto"/>
        <w:rPr>
          <w:rFonts w:ascii="Times New Roman" w:hAnsi="Times New Roman" w:cs="Times New Roman"/>
          <w:sz w:val="24"/>
          <w:szCs w:val="24"/>
          <w:lang w:eastAsia="uk-UA"/>
        </w:rPr>
      </w:pPr>
      <w:r>
        <w:rPr>
          <w:rFonts w:ascii="Times New Roman" w:hAnsi="Times New Roman" w:cs="Times New Roman"/>
          <w:color w:val="000000"/>
          <w:sz w:val="24"/>
          <w:szCs w:val="24"/>
        </w:rPr>
        <w:t xml:space="preserve">Характеристики товару повинні відповідати вимогам або бути кращими тих, які наведені в таблиці.</w:t>
      </w:r>
      <w:r>
        <w:rPr>
          <w:rFonts w:ascii="Times New Roman" w:hAnsi="Times New Roman" w:cs="Times New Roman"/>
          <w:sz w:val="24"/>
          <w:szCs w:val="24"/>
          <w:lang w:eastAsia="uk-UA"/>
        </w:rPr>
        <w:t xml:space="preserve"> Пропо</w:t>
      </w:r>
      <w:r>
        <w:rPr>
          <w:rFonts w:ascii="Times New Roman" w:hAnsi="Times New Roman" w:cs="Times New Roman"/>
          <w:sz w:val="24"/>
          <w:szCs w:val="24"/>
          <w:lang w:eastAsia="uk-UA"/>
        </w:rPr>
        <w:t xml:space="preserve">зиція Учасника має містити чітке зазначення виробника, моделі та артикулу для можливості перевірки запропонованого товару технічним вимогам Замовника. У разі відсутності зазначених вимог, Замовник залишає право відхилити пропозицію запропонованого товару. </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1. Товар повинен бути новим, з повною комплектацією. З товаром поставляються технічний паспорт чи інструкція з експлуатації українською мовою</w:t>
      </w:r>
      <w:r>
        <w:rPr>
          <w:rFonts w:ascii="Times New Roman" w:hAnsi="Times New Roman" w:cs="Times New Roman"/>
          <w:sz w:val="24"/>
          <w:szCs w:val="24"/>
          <w:lang w:eastAsia="uk-UA"/>
        </w:rPr>
        <w:t xml:space="preserve">, гарантійні талони, набір драйверів тощо,  передбачених для товару. Упаковка, в якій постачається товар, повинна відповідати загальноприйнятим стандартам та технічним умовам, забезпечувати зберігання товару, та/або його неушкодженість при транспортуванні.</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2. Технічні та якісні характеристики повинні відповідати вимогам та стандартам відповідних діючих нормативних документів.</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3. Доставка товару здійснюється за рахунок та силами Постачальника, у терміни попередньо узгоджені, і визначається в кожному випадку замовленням Замовника.</w:t>
      </w:r>
      <w:r/>
    </w:p>
    <w:p>
      <w:pPr>
        <w:jc w:val="both"/>
        <w:spacing w:after="0" w:line="240" w:lineRule="auto"/>
        <w:rPr>
          <w:rFonts w:ascii="Times New Roman" w:hAnsi="Times New Roman" w:cs="Times New Roman"/>
          <w:sz w:val="24"/>
          <w:szCs w:val="24"/>
          <w:lang w:eastAsia="uk-UA"/>
        </w:rPr>
      </w:pPr>
      <w:r>
        <w:rPr>
          <w:rFonts w:ascii="Times New Roman" w:hAnsi="Times New Roman" w:cs="Times New Roman"/>
          <w:sz w:val="24"/>
          <w:szCs w:val="24"/>
          <w:lang w:eastAsia="uk-UA"/>
        </w:rPr>
        <w:t xml:space="preserve">4. Приймання товарів проводиться при наявності товаро супроводжуючих документів, видаткової накладної та копії документів, що підтверджують якість товарів.</w:t>
      </w:r>
      <w:r/>
    </w:p>
    <w:p>
      <w:pPr>
        <w:jc w:val="both"/>
        <w:spacing w:after="0" w:line="240" w:lineRule="auto"/>
        <w:rPr>
          <w:rFonts w:ascii="Times New Roman" w:hAnsi="Times New Roman" w:cs="Times New Roman"/>
          <w:sz w:val="24"/>
          <w:szCs w:val="24"/>
          <w:lang w:eastAsia="ar-SA"/>
        </w:rPr>
      </w:pPr>
      <w:r>
        <w:rPr>
          <w:rFonts w:ascii="Times New Roman" w:hAnsi="Times New Roman" w:eastAsia="Calibri" w:cs="Times New Roman"/>
          <w:sz w:val="24"/>
          <w:szCs w:val="24"/>
        </w:rPr>
        <w:t xml:space="preserve">7.  Гарантійні зобов’язання (всіх найменувань) повинні бути не менше строків, визначених технічними умовами виробника даних товарів. </w:t>
      </w:r>
      <w:r>
        <w:rPr>
          <w:rFonts w:ascii="Times New Roman" w:hAnsi="Times New Roman" w:cs="Times New Roman"/>
          <w:sz w:val="24"/>
          <w:szCs w:val="24"/>
          <w:lang w:eastAsia="ar-SA"/>
        </w:rPr>
        <w:t xml:space="preserve">Учасник повинен забезпечити обслуговування (підтримку) протягом гарантійного терміну. </w:t>
      </w:r>
      <w:r/>
    </w:p>
    <w:p>
      <w:pPr>
        <w:pStyle w:val="748"/>
        <w:jc w:val="both"/>
        <w:rPr>
          <w:rStyle w:val="758"/>
          <w:sz w:val="24"/>
          <w:szCs w:val="24"/>
        </w:rPr>
      </w:pPr>
      <w:r>
        <w:rPr>
          <w:sz w:val="24"/>
          <w:szCs w:val="24"/>
        </w:rPr>
      </w:r>
      <w:r/>
    </w:p>
    <w:p>
      <w:pPr>
        <w:ind w:left="14" w:firstLine="538"/>
        <w:jc w:val="both"/>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t xml:space="preserve">У разі, якщо характеристики товару, що пропонується Учасником до постачання, відрізняються від характеристик, які вимагаються Замовником, такий учасник у складі тендерної пропозиції надає таблицю відповідності за нижченаведеною формою.</w:t>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r>
      <w:r/>
    </w:p>
    <w:p>
      <w:pPr>
        <w:contextualSpacing/>
        <w:ind w:left="14" w:firstLine="538"/>
        <w:jc w:val="center"/>
        <w:spacing w:after="0" w:line="240" w:lineRule="auto"/>
        <w:rPr>
          <w:rFonts w:ascii="Times New Roman" w:hAnsi="Times New Roman" w:cs="Times New Roman"/>
          <w:b/>
          <w:bCs/>
          <w:sz w:val="24"/>
          <w:szCs w:val="24"/>
          <w:lang w:eastAsia="ar-SA"/>
        </w:rPr>
      </w:pPr>
      <w:r>
        <w:rPr>
          <w:rFonts w:ascii="Times New Roman" w:hAnsi="Times New Roman" w:cs="Times New Roman"/>
          <w:b/>
          <w:bCs/>
          <w:sz w:val="24"/>
          <w:szCs w:val="24"/>
          <w:lang w:eastAsia="ar-SA"/>
        </w:rPr>
        <w:t xml:space="preserve">Таблиця відповідності</w:t>
      </w:r>
      <w:r/>
    </w:p>
    <w:p>
      <w:pPr>
        <w:contextualSpacing/>
        <w:spacing w:after="0" w:line="240" w:lineRule="auto"/>
        <w:rPr>
          <w:rFonts w:ascii="Times New Roman" w:hAnsi="Times New Roman" w:cs="Times New Roman"/>
          <w:sz w:val="24"/>
          <w:szCs w:val="24"/>
          <w:lang w:eastAsia="ar-SA"/>
        </w:rPr>
      </w:pPr>
      <w:r>
        <w:rPr>
          <w:rFonts w:ascii="Times New Roman" w:hAnsi="Times New Roman" w:cs="Times New Roman"/>
          <w:sz w:val="24"/>
          <w:szCs w:val="24"/>
          <w:lang w:eastAsia="ar-SA"/>
        </w:rPr>
      </w:r>
      <w:r/>
    </w:p>
    <w:tbl>
      <w:tblPr>
        <w:tblpPr w:horzAnchor="margin" w:tblpXSpec="left" w:vertAnchor="text" w:tblpY="-62" w:leftFromText="180" w:topFromText="0" w:rightFromText="180" w:bottomFromText="0"/>
        <w:tblW w:w="100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97"/>
        <w:gridCol w:w="2928"/>
        <w:gridCol w:w="3163"/>
        <w:gridCol w:w="2943"/>
      </w:tblGrid>
      <w:tr>
        <w:trPr/>
        <w:tc>
          <w:tcPr>
            <w:tcW w:w="520"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 з/п</w:t>
            </w:r>
            <w:r/>
          </w:p>
        </w:tc>
        <w:tc>
          <w:tcPr>
            <w:tcW w:w="3000" w:type="dxa"/>
            <w:vAlign w:val="center"/>
            <w:textDirection w:val="lrTb"/>
            <w:noWrap w:val="false"/>
          </w:tcPr>
          <w:p>
            <w:pPr>
              <w:contextualSpacing/>
              <w:ind w:left="14" w:firstLine="538"/>
              <w:jc w:val="center"/>
              <w:spacing w:after="0" w:line="240" w:lineRule="auto"/>
              <w:rPr>
                <w:rFonts w:ascii="Times New Roman" w:hAnsi="Times New Roman" w:cs="Times New Roman"/>
                <w:bCs/>
                <w:sz w:val="24"/>
                <w:szCs w:val="24"/>
                <w:lang w:eastAsia="ar-SA"/>
              </w:rPr>
            </w:pPr>
            <w:r>
              <w:rPr>
                <w:rFonts w:ascii="Times New Roman" w:hAnsi="Times New Roman" w:cs="Times New Roman"/>
                <w:bCs/>
                <w:sz w:val="24"/>
                <w:szCs w:val="24"/>
                <w:lang w:eastAsia="ar-SA"/>
              </w:rPr>
              <w:t xml:space="preserve">Характеристика</w:t>
            </w:r>
            <w:r/>
          </w:p>
        </w:tc>
        <w:tc>
          <w:tcPr>
            <w:tcW w:w="3396"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визначені Замовником</w:t>
            </w:r>
            <w:r/>
          </w:p>
        </w:tc>
        <w:tc>
          <w:tcPr>
            <w:tcW w:w="3115" w:type="dxa"/>
            <w:vAlign w:val="center"/>
            <w:textDirection w:val="lrTb"/>
            <w:noWrap w:val="false"/>
          </w:tcPr>
          <w:p>
            <w:pPr>
              <w:contextualSpacing/>
              <w:ind w:left="14" w:firstLine="538"/>
              <w:jc w:val="center"/>
              <w:spacing w:after="0" w:line="240" w:lineRule="auto"/>
              <w:rPr>
                <w:rFonts w:ascii="Times New Roman" w:hAnsi="Times New Roman" w:cs="Times New Roman"/>
                <w:sz w:val="24"/>
                <w:szCs w:val="24"/>
                <w:lang w:eastAsia="ar-SA"/>
              </w:rPr>
            </w:pPr>
            <w:r>
              <w:rPr>
                <w:rFonts w:ascii="Times New Roman" w:hAnsi="Times New Roman" w:cs="Times New Roman"/>
                <w:bCs/>
                <w:sz w:val="24"/>
                <w:szCs w:val="24"/>
                <w:lang w:eastAsia="ar-SA"/>
              </w:rPr>
              <w:t xml:space="preserve">Опис технічних вимог, які  пропонуються Учасником</w:t>
            </w:r>
            <w:r/>
          </w:p>
        </w:tc>
      </w:tr>
    </w:tbl>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Товар повинен відповідати вимогам:</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Закону України від 14.08.2014р. № 1644-VІІ «Про санкції»,</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Указу Президента України від 15.05.2017р. № 133/2017 «Про рішення Ради національної безпеки і оборони України від 28 квітня 2017 року «Про застосування персональних спеціальних економічних та інших обмежувальних заходів (санкцій)»,</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Постанови КМУ від 16.12.2015р. № 1035 «Про обмеження поставок окремих товарів(робіт, послуг) з тимчасово окупованої території на іншу територію України та/або з іншої території України на тимчасово окуповану територію»,</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 п/п. 4 п.2 частини першої Розпорядження Кабінету Міністрів України від 11.09.2014 р. №829-р «Про пропозиції щодо застосування персональних спеціальних економічних та інших обмежувальних заходів», зг</w:t>
      </w:r>
      <w:r>
        <w:rPr>
          <w:rFonts w:ascii="Times New Roman" w:hAnsi="Times New Roman" w:cs="Times New Roman"/>
          <w:bCs/>
          <w:iCs/>
          <w:sz w:val="24"/>
          <w:szCs w:val="24"/>
        </w:rPr>
        <w:t xml:space="preserve">ідно з якими заборонено здійснення державних закупівель товарів, робіт і послуг у юридичних осіб - резидентів Російської Федерації державної форми власності та юридичних осіб, частка статутного капіталу яких перебуває у власності Російської Федерації, а та</w:t>
      </w:r>
      <w:r>
        <w:rPr>
          <w:rFonts w:ascii="Times New Roman" w:hAnsi="Times New Roman" w:cs="Times New Roman"/>
          <w:bCs/>
          <w:iCs/>
          <w:sz w:val="24"/>
          <w:szCs w:val="24"/>
        </w:rPr>
        <w:t xml:space="preserve">кож у інших суб’єктів господарювання, що здійснюють продаж товарів, робіт і послуг походженням з Російської Федерації, крім випадків, коли заміщення таких предметів закупівлі іншими неможливе, що підтверджено Міністерством економічного розвитку і торгівлі.</w:t>
      </w:r>
      <w:r/>
    </w:p>
    <w:p>
      <w:pPr>
        <w:ind w:firstLine="263"/>
        <w:jc w:val="both"/>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 xml:space="preserve">У разі якщо товар не відповідає технічним вимогам Замовника або Учасник не в змозі виконати умови поставки, які визначені Замовником, Пропозиція відхиляється.</w:t>
      </w:r>
      <w:r/>
    </w:p>
    <w:p>
      <w:pPr>
        <w:ind w:firstLine="263"/>
        <w:jc w:val="both"/>
        <w:spacing w:after="0" w:line="240" w:lineRule="auto"/>
        <w:rPr>
          <w:rFonts w:ascii="Times New Roman" w:hAnsi="Times New Roman" w:cs="Times New Roman"/>
          <w:bCs/>
          <w:i/>
          <w:iCs/>
          <w:sz w:val="24"/>
          <w:szCs w:val="24"/>
        </w:rPr>
      </w:pPr>
      <w:r>
        <w:rPr>
          <w:rFonts w:ascii="Times New Roman" w:hAnsi="Times New Roman" w:cs="Times New Roman"/>
          <w:bCs/>
          <w:i/>
          <w:iCs/>
          <w:sz w:val="24"/>
          <w:szCs w:val="24"/>
        </w:rPr>
      </w:r>
      <w:r/>
    </w:p>
    <w:p>
      <w:pPr>
        <w:pStyle w:val="732"/>
        <w:ind w:left="0" w:firstLine="567"/>
        <w:jc w:val="center"/>
        <w:spacing w:after="0" w:line="240" w:lineRule="auto"/>
        <w:rPr>
          <w:rFonts w:ascii="Times New Roman" w:hAnsi="Times New Roman" w:cs="Times New Roman"/>
          <w:b/>
          <w:bCs/>
          <w:color w:val="000000" w:themeColor="text1"/>
          <w:sz w:val="24"/>
          <w:szCs w:val="24"/>
          <w:lang w:val="uk-UA"/>
        </w:rPr>
      </w:pPr>
      <w:r>
        <w:rPr>
          <w:rFonts w:ascii="Times New Roman" w:hAnsi="Times New Roman" w:cs="Times New Roman"/>
          <w:b/>
          <w:bCs/>
          <w:color w:val="000000" w:themeColor="text1"/>
          <w:sz w:val="24"/>
          <w:szCs w:val="24"/>
          <w:lang w:val="uk-UA"/>
        </w:rPr>
        <w:t xml:space="preserve">СПЕЦИФІКАЦІЯ:</w:t>
      </w:r>
      <w:bookmarkEnd w:id="0"/>
      <w:r/>
    </w:p>
    <w:tbl>
      <w:tblPr>
        <w:tblW w:w="9843"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506"/>
        <w:gridCol w:w="1719"/>
        <w:gridCol w:w="4174"/>
        <w:gridCol w:w="2560"/>
        <w:gridCol w:w="884"/>
      </w:tblGrid>
      <w:tr>
        <w:trPr>
          <w:trHeight w:val="315"/>
        </w:trPr>
        <w:tc>
          <w:tcPr>
            <w:shd w:val="clear" w:color="auto" w:fill="auto"/>
            <w:tcW w:w="506" w:type="dxa"/>
            <w:vAlign w:val="center"/>
            <w:textDirection w:val="lrTb"/>
            <w:noWrap w:val="false"/>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з/п</w:t>
            </w:r>
            <w:r/>
          </w:p>
        </w:tc>
        <w:tc>
          <w:tcPr>
            <w:shd w:val="clear" w:color="auto" w:fill="auto"/>
            <w:tcW w:w="1719" w:type="dxa"/>
            <w:vAlign w:val="center"/>
            <w:textDirection w:val="lrTb"/>
            <w:noWrap w:val="false"/>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Найменування товару</w:t>
            </w:r>
            <w:r/>
          </w:p>
        </w:tc>
        <w:tc>
          <w:tcPr>
            <w:gridSpan w:val="2"/>
            <w:shd w:val="clear" w:color="auto" w:fill="auto"/>
            <w:tcW w:w="6734" w:type="dxa"/>
            <w:vAlign w:val="center"/>
            <w:textDirection w:val="lrTb"/>
            <w:noWrap w:val="false"/>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Характеристики товару</w:t>
            </w:r>
            <w:r/>
          </w:p>
        </w:tc>
        <w:tc>
          <w:tcPr>
            <w:shd w:val="clear" w:color="auto" w:fill="auto"/>
            <w:tcW w:w="884" w:type="dxa"/>
            <w:vAlign w:val="center"/>
            <w:textDirection w:val="lrTb"/>
            <w:noWrap w:val="false"/>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К-сть, шт</w:t>
            </w:r>
            <w:r/>
          </w:p>
        </w:tc>
      </w:tr>
      <w:tr>
        <w:trPr>
          <w:trHeight w:val="300"/>
        </w:trPr>
        <w:tc>
          <w:tcPr>
            <w:shd w:val="clear" w:color="auto" w:fill="auto"/>
            <w:tcW w:w="506" w:type="dxa"/>
            <w:vAlign w:val="center"/>
            <w:vMerge w:val="restart"/>
            <w:textDirection w:val="lrTb"/>
            <w:noWrap/>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w:t>
            </w:r>
            <w:r/>
          </w:p>
        </w:tc>
        <w:tc>
          <w:tcPr>
            <w:shd w:val="clear" w:color="auto" w:fill="auto"/>
            <w:tcW w:w="1719" w:type="dxa"/>
            <w:vAlign w:val="center"/>
            <w:vMerge w:val="restart"/>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Система зберігання енергії</w:t>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Гібридна трьох фазна система зберігання енергії (резервного електроживлення) в серійному монокорпусному виконанні з встановленням, налаштуванням на вводом в експлуатацію на майданчику замовника</w:t>
            </w:r>
            <w:r/>
          </w:p>
        </w:tc>
        <w:tc>
          <w:tcPr>
            <w:shd w:val="clear" w:color="auto" w:fill="auto"/>
            <w:tcW w:w="884" w:type="dxa"/>
            <w:vAlign w:val="center"/>
            <w:vMerge w:val="restart"/>
            <w:textDirection w:val="lrTb"/>
            <w:noWrap/>
          </w:tcPr>
          <w:p>
            <w:pPr>
              <w:jc w:val="cente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w:t>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Кількість інверторів у складі системи</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сигналу</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Чиста синусоїда</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Номінальна потужність інвертору АС</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12000 Вт</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Пікова потужність інвертору АС</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24000 Вт</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Макс. вхідна потужність PV (сонячного масиву) </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15600 Вт</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Максимальний струм заряду (вихід інвертора)</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240 A</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Кількість фаз</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Кількість MPPT</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2</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Функція холодного запуску </w:t>
            </w:r>
            <w:r/>
          </w:p>
        </w:tc>
        <w:tc>
          <w:tcPr>
            <w:shd w:val="clear" w:color="auto" w:fill="auto"/>
            <w:tcW w:w="2560" w:type="dxa"/>
            <w:vAlign w:val="center"/>
            <w:textDirection w:val="lrTb"/>
            <w:noWrap/>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Так</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Кількість батарей у складі системи</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4</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Тип батареї</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LiFePO4</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Сумарна </w:t>
            </w:r>
            <w:r>
              <w:rPr>
                <w:rFonts w:ascii="Times New Roman" w:hAnsi="Times New Roman" w:cs="Times New Roman"/>
                <w:sz w:val="24"/>
                <w:szCs w:val="24"/>
              </w:rPr>
              <w:t xml:space="preserve">повна енергія, що зберігається в блоці батарей</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w:t>
            </w:r>
            <w:r>
              <w:rPr>
                <w:rFonts w:ascii="Times New Roman" w:hAnsi="Times New Roman" w:cs="Times New Roman"/>
                <w:sz w:val="24"/>
                <w:szCs w:val="24"/>
              </w:rPr>
              <w:t xml:space="preserve">19200 Вт*г</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Номінальна напруга батарей</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48 В</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Життевий цикл батарейного блоку (кількість циклів повного заряду/розряду блоку батарей, після яких в ньому залишиться не менше ніж 80% від початкової номінальної ємності. Умови випробування: струм 0.2С, температура 25 градусів C.)</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6000 циклів </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Максимально можливий струм заряду батарейного блоку</w:t>
            </w:r>
            <w:r/>
          </w:p>
        </w:tc>
        <w:tc>
          <w:tcPr>
            <w:shd w:val="clear" w:color="auto" w:fill="auto"/>
            <w:tcW w:w="2560"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240 A</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Кількість та тип вбудованих вихідних роз'ємів з батарейним резервуванням та перемикачем вкл/викл</w:t>
            </w:r>
            <w:r/>
          </w:p>
        </w:tc>
        <w:tc>
          <w:tcPr>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8 х Schuko</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Окремий порт для підключення бензинового або дизель генератора</w:t>
            </w:r>
            <w:r/>
          </w:p>
        </w:tc>
        <w:tc>
          <w:tcPr>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Можливість обмеження потужності яку інвертор може брати з генератора</w:t>
            </w:r>
            <w:r/>
          </w:p>
        </w:tc>
        <w:tc>
          <w:tcPr>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Так</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Не менше ніж 6 періодів для визначення часу заряду/розряду батарей</w:t>
            </w:r>
            <w:r/>
          </w:p>
        </w:tc>
        <w:tc>
          <w:tcPr>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Повністю небалансований вихід по кожній фазі</w:t>
            </w:r>
            <w:r/>
          </w:p>
        </w:tc>
        <w:tc>
          <w:tcPr>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Максимальна потужність по одній фазі не менше ніж 50% від загальної потужності інвертора</w:t>
            </w:r>
            <w:r/>
          </w:p>
        </w:tc>
        <w:tc>
          <w:tcPr>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Вбудований захист від перенавантаження в інверторі. </w:t>
            </w:r>
            <w:r/>
          </w:p>
        </w:tc>
        <w:tc>
          <w:tcPr>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Синхронізація </w:t>
            </w:r>
            <w:r>
              <w:rPr>
                <w:rFonts w:ascii="Times New Roman" w:hAnsi="Times New Roman" w:cs="Times New Roman"/>
                <w:color w:val="000000"/>
                <w:sz w:val="24"/>
                <w:szCs w:val="24"/>
                <w:lang w:val="en-US"/>
              </w:rPr>
              <w:t xml:space="preserve">BMS</w:t>
            </w:r>
            <w:r>
              <w:rPr>
                <w:rFonts w:ascii="Times New Roman" w:hAnsi="Times New Roman" w:cs="Times New Roman"/>
                <w:color w:val="000000"/>
                <w:sz w:val="24"/>
                <w:szCs w:val="24"/>
              </w:rPr>
              <w:t xml:space="preserve"> блоку батарей з інвертором </w:t>
            </w:r>
            <w:r/>
          </w:p>
        </w:tc>
        <w:tc>
          <w:tcPr>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Додатковий зовнішній запобіжник/роз’єднувач по постійному струму зі швидким розщепленням</w:t>
            </w:r>
            <w:r/>
          </w:p>
        </w:tc>
        <w:tc>
          <w:tcPr>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color w:val="ff0000"/>
                <w:sz w:val="24"/>
                <w:szCs w:val="24"/>
              </w:rPr>
            </w:pPr>
            <w:r>
              <w:rPr>
                <w:rFonts w:ascii="Times New Roman" w:hAnsi="Times New Roman" w:cs="Times New Roman"/>
                <w:color w:val="000000"/>
                <w:sz w:val="24"/>
                <w:szCs w:val="24"/>
              </w:rPr>
              <w:t xml:space="preserve">Автоматичний захист по змінному струму</w:t>
            </w:r>
            <w:r/>
          </w:p>
        </w:tc>
        <w:tc>
          <w:tcPr>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Ручний перемикач для виключення системи зберігання енергії з ланцюга живлення навантаження (Для проведення діагностики і сервісного обслуговування системи) </w:t>
            </w:r>
            <w:r/>
          </w:p>
        </w:tc>
        <w:tc>
          <w:tcPr>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sz w:val="24"/>
                <w:szCs w:val="24"/>
              </w:rPr>
            </w:pPr>
            <w:r>
              <w:rPr>
                <w:rFonts w:ascii="Times New Roman" w:hAnsi="Times New Roman" w:cs="Times New Roman"/>
                <w:sz w:val="24"/>
                <w:szCs w:val="24"/>
                <w:lang w:val="en-US"/>
              </w:rPr>
              <w:t xml:space="preserve">WiFi</w:t>
            </w:r>
            <w:r>
              <w:rPr>
                <w:rFonts w:ascii="Times New Roman" w:hAnsi="Times New Roman" w:cs="Times New Roman"/>
                <w:sz w:val="24"/>
                <w:szCs w:val="24"/>
              </w:rPr>
              <w:t xml:space="preserve"> модуль для моніторингу стану системи в реальному часі</w:t>
            </w:r>
            <w:r/>
          </w:p>
        </w:tc>
        <w:tc>
          <w:tcPr>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Так</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Додаток для </w:t>
            </w:r>
            <w:r>
              <w:rPr>
                <w:rFonts w:ascii="Times New Roman" w:hAnsi="Times New Roman" w:cs="Times New Roman"/>
                <w:sz w:val="24"/>
                <w:szCs w:val="24"/>
                <w:lang w:val="en-US"/>
              </w:rPr>
              <w:t xml:space="preserve">Android</w:t>
            </w:r>
            <w:r>
              <w:rPr>
                <w:rFonts w:ascii="Times New Roman" w:hAnsi="Times New Roman" w:cs="Times New Roman"/>
                <w:sz w:val="24"/>
                <w:szCs w:val="24"/>
              </w:rPr>
              <w:t xml:space="preserve">/</w:t>
            </w:r>
            <w:r>
              <w:rPr>
                <w:rFonts w:ascii="Times New Roman" w:hAnsi="Times New Roman" w:cs="Times New Roman"/>
                <w:sz w:val="24"/>
                <w:szCs w:val="24"/>
                <w:lang w:val="en-US"/>
              </w:rPr>
              <w:t xml:space="preserve">IOS</w:t>
            </w:r>
            <w:r>
              <w:rPr>
                <w:rFonts w:ascii="Times New Roman" w:hAnsi="Times New Roman" w:cs="Times New Roman"/>
                <w:sz w:val="24"/>
                <w:szCs w:val="24"/>
              </w:rPr>
              <w:t xml:space="preserve"> з можливістю доступу до: статистики, стану споживання, параметрів, налаштувань, характеристик блоку батарей і інвертора. </w:t>
            </w:r>
            <w:r/>
          </w:p>
        </w:tc>
        <w:tc>
          <w:tcPr>
            <w:shd w:val="clear" w:color="auto" w:fill="auto"/>
            <w:tcW w:w="2560" w:type="dxa"/>
            <w:vAlign w:val="center"/>
            <w:textDirection w:val="lrTb"/>
            <w:noWrap w:val="false"/>
          </w:tcPr>
          <w:p>
            <w:pPr>
              <w:spacing w:after="0" w:line="240" w:lineRule="auto"/>
              <w:rPr>
                <w:rFonts w:ascii="Times New Roman" w:hAnsi="Times New Roman" w:cs="Times New Roman"/>
                <w:color w:val="000000"/>
                <w:sz w:val="24"/>
                <w:szCs w:val="24"/>
                <w:lang w:val="en-US"/>
              </w:rPr>
            </w:pPr>
            <w:r>
              <w:rPr>
                <w:rFonts w:ascii="Times New Roman" w:hAnsi="Times New Roman" w:cs="Times New Roman"/>
                <w:color w:val="000000"/>
                <w:sz w:val="24"/>
                <w:szCs w:val="24"/>
              </w:rPr>
              <w:t xml:space="preserve">Так</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12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Додатковий опціонал/можливості</w:t>
            </w:r>
            <w:r/>
          </w:p>
        </w:tc>
        <w:tc>
          <w:tcPr>
            <w:shd w:val="clear" w:color="auto" w:fill="auto"/>
            <w:tcW w:w="256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Розумний режим заряду акумулятора для оптимізації терміну служби акумулятора</w:t>
            </w:r>
            <w:r>
              <w:rPr>
                <w:rFonts w:ascii="Times New Roman" w:hAnsi="Times New Roman" w:cs="Times New Roman"/>
                <w:sz w:val="24"/>
                <w:szCs w:val="24"/>
              </w:rPr>
              <w:br/>
              <w:t xml:space="preserve">Захист від перевантаження, високої температури, короткого замикання на виході інвертора, захист від перенапруги</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r>
        <w:trPr>
          <w:trHeight w:val="300"/>
        </w:trPr>
        <w:tc>
          <w:tcPr>
            <w:tcW w:w="506"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tcW w:w="1719"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c>
          <w:tcPr>
            <w:shd w:val="clear" w:color="auto" w:fill="auto"/>
            <w:tcW w:w="4174" w:type="dxa"/>
            <w:vAlign w:val="center"/>
            <w:textDirection w:val="lrTb"/>
            <w:noWrap/>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Гарантія </w:t>
            </w:r>
            <w:r/>
          </w:p>
        </w:tc>
        <w:tc>
          <w:tcPr>
            <w:shd w:val="clear" w:color="auto" w:fill="auto"/>
            <w:tcW w:w="2560" w:type="dxa"/>
            <w:vAlign w:val="center"/>
            <w:textDirection w:val="lrTb"/>
            <w:noWrap w:val="false"/>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Не менше 60 місяців</w:t>
            </w:r>
            <w:r/>
          </w:p>
        </w:tc>
        <w:tc>
          <w:tcPr>
            <w:tcW w:w="884" w:type="dxa"/>
            <w:vAlign w:val="center"/>
            <w:vMerge w:val="continue"/>
            <w:textDirection w:val="lrTb"/>
            <w:noWrap w:val="false"/>
          </w:tcPr>
          <w:p>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r>
            <w:r/>
          </w:p>
        </w:tc>
      </w:tr>
    </w:tbl>
    <w:p>
      <w:pPr>
        <w:ind w:firstLine="263"/>
        <w:jc w:val="both"/>
        <w:rPr>
          <w:i/>
          <w:sz w:val="24"/>
          <w:szCs w:val="24"/>
        </w:rPr>
      </w:pPr>
      <w:r>
        <w:rPr>
          <w:i/>
          <w:sz w:val="24"/>
          <w:szCs w:val="24"/>
        </w:rPr>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У разі, якщо у цій тендерній документації (у тому числі у технічній специфікації) міститься посилання:</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w:t>
      </w:r>
      <w:r>
        <w:rPr>
          <w:rFonts w:ascii="Times New Roman" w:hAnsi="Times New Roman" w:cs="Times New Roman"/>
          <w:i/>
          <w:sz w:val="24"/>
          <w:szCs w:val="24"/>
        </w:rPr>
        <w:t xml:space="preserve">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r/>
    </w:p>
    <w:p>
      <w:pPr>
        <w:ind w:firstLine="263"/>
        <w:jc w:val="both"/>
        <w:spacing w:after="0" w:line="240" w:lineRule="auto"/>
        <w:rPr>
          <w:rFonts w:ascii="Times New Roman" w:hAnsi="Times New Roman" w:cs="Times New Roman"/>
          <w:i/>
          <w:sz w:val="24"/>
          <w:szCs w:val="24"/>
        </w:rPr>
      </w:pPr>
      <w:r>
        <w:rPr>
          <w:rFonts w:ascii="Times New Roman" w:hAnsi="Times New Roman" w:cs="Times New Roman"/>
          <w:i/>
          <w:sz w:val="24"/>
          <w:szCs w:val="24"/>
        </w:rPr>
        <w:t xml:space="preserve">- на ко</w:t>
      </w:r>
      <w:r>
        <w:rPr>
          <w:rFonts w:ascii="Times New Roman" w:hAnsi="Times New Roman" w:cs="Times New Roman"/>
          <w:i/>
          <w:sz w:val="24"/>
          <w:szCs w:val="24"/>
        </w:rPr>
        <w:t xml:space="preserve">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r/>
    </w:p>
    <w:p>
      <w:pPr>
        <w:ind w:firstLine="263"/>
        <w:jc w:val="both"/>
        <w:spacing w:after="0" w:line="240" w:lineRule="auto"/>
        <w:rPr>
          <w:rFonts w:ascii="Times New Roman" w:hAnsi="Times New Roman" w:cs="Times New Roman"/>
          <w:sz w:val="24"/>
          <w:szCs w:val="24"/>
        </w:rPr>
      </w:pPr>
      <w:r>
        <w:rPr>
          <w:rFonts w:ascii="Times New Roman" w:hAnsi="Times New Roman" w:cs="Times New Roman"/>
          <w:bCs/>
          <w:i/>
          <w:iCs/>
          <w:sz w:val="24"/>
          <w:szCs w:val="24"/>
        </w:rPr>
        <w:t xml:space="preserve">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w:t>
      </w:r>
      <w:r>
        <w:rPr>
          <w:rFonts w:ascii="Times New Roman" w:hAnsi="Times New Roman" w:cs="Times New Roman"/>
          <w:bCs/>
          <w:i/>
          <w:iCs/>
          <w:sz w:val="24"/>
          <w:szCs w:val="24"/>
        </w:rPr>
        <w:t xml:space="preserve">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r/>
    </w:p>
    <w:p>
      <w:pPr>
        <w:contextualSpacing/>
        <w:ind w:firstLine="263"/>
        <w:jc w:val="both"/>
        <w:spacing w:after="0" w:line="240" w:lineRule="auto"/>
        <w:shd w:val="clear" w:color="auto" w:fill="ffffff"/>
        <w:rPr>
          <w:rFonts w:ascii="Times New Roman" w:hAnsi="Times New Roman" w:cs="Times New Roman"/>
          <w:sz w:val="24"/>
          <w:szCs w:val="24"/>
        </w:rPr>
      </w:pPr>
      <w:r>
        <w:rPr>
          <w:rFonts w:ascii="Times New Roman" w:hAnsi="Times New Roman" w:cs="Times New Roman"/>
          <w:sz w:val="24"/>
          <w:szCs w:val="24"/>
        </w:rPr>
      </w:r>
      <w:r/>
    </w:p>
    <w:p>
      <w:pPr>
        <w:contextualSpacing/>
        <w:ind w:firstLine="263"/>
        <w:jc w:val="both"/>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Вимоги до предмету закупівлі:</w:t>
      </w:r>
      <w:r/>
    </w:p>
    <w:p>
      <w:pPr>
        <w:ind w:firstLine="263"/>
        <w:jc w:val="both"/>
        <w:spacing w:after="0" w:line="240" w:lineRule="auto"/>
        <w:rPr>
          <w:rFonts w:ascii="Times New Roman" w:hAnsi="Times New Roman" w:cs="Times New Roman"/>
          <w:sz w:val="24"/>
          <w:szCs w:val="24"/>
        </w:rPr>
      </w:pPr>
      <w:r/>
      <w:bookmarkStart w:id="1" w:name="_Hlk168910161"/>
      <w:r>
        <w:rPr>
          <w:rFonts w:ascii="Times New Roman" w:hAnsi="Times New Roman" w:cs="Times New Roman"/>
          <w:sz w:val="24"/>
          <w:szCs w:val="24"/>
        </w:rPr>
        <w:t xml:space="preserve">1. На підтвердження відповідності Товару, що є предметом закупівлі (система зберігання енергії) якісним характеристикам Учасник повинен надати: копії декларації про відповідність та сертифікату відповідності згідно з нормами чинного законодавства України.</w:t>
      </w:r>
      <w:r/>
    </w:p>
    <w:p>
      <w:pPr>
        <w:ind w:firstLine="263"/>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На підтвердження відповідності санітарно-епідеміологічному законодавству Учасник повинен надати копію висновоку державної санітарно-епідеміологічної експертизи або інші документи згідно з нормами чинного законодавства України.</w:t>
      </w:r>
      <w:bookmarkEnd w:id="1"/>
      <w:r/>
      <w:r/>
    </w:p>
    <w:p>
      <w:pPr>
        <w:ind w:firstLine="263"/>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Якщо Учасник не є виробником товару, що є предметом закупівлі (</w:t>
      </w:r>
      <w:r>
        <w:rPr>
          <w:rFonts w:ascii="Times New Roman" w:hAnsi="Times New Roman" w:cs="Times New Roman"/>
          <w:color w:val="000000"/>
          <w:sz w:val="24"/>
          <w:szCs w:val="24"/>
        </w:rPr>
        <w:t xml:space="preserve">система зберігання енергії</w:t>
      </w:r>
      <w:r>
        <w:rPr>
          <w:rFonts w:ascii="Times New Roman" w:hAnsi="Times New Roman" w:cs="Times New Roman"/>
          <w:sz w:val="24"/>
          <w:szCs w:val="24"/>
        </w:rPr>
        <w:t xml:space="preserve">), то він повинен надати лист від виробника продукції, який підтверджує партнерські повноваження учасника, а також гарантує наявність товару для відвантаження у необхідні терміни, його відповідність технічному завданню та п</w:t>
      </w:r>
      <w:r>
        <w:rPr>
          <w:rFonts w:ascii="Times New Roman" w:hAnsi="Times New Roman" w:cs="Times New Roman"/>
          <w:sz w:val="24"/>
          <w:szCs w:val="24"/>
        </w:rPr>
        <w:t xml:space="preserve">ідтверджує гарантійні зобов’язання у повному обсязі. Лист повинен бути адресований Учаснику або Замовнику, та містити інформацію з посиланням на номер і дату оприлюднення оголошення на веб-порталі Уповноваженого органу, найменування запропонованого Товару.</w:t>
      </w:r>
      <w:r/>
    </w:p>
    <w:p>
      <w:pPr>
        <w:ind w:firstLine="263"/>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4. Учасник у документах, що містять технічний опис предмета закупівлі та додаються до тендерної пропозиції (інформації про відповідність тендерної пропозиції технічним, якісним, кількісним та іншим характеристикам), повинен чітко вказати специфікації проду</w:t>
      </w:r>
      <w:r>
        <w:rPr>
          <w:rFonts w:ascii="Times New Roman" w:hAnsi="Times New Roman" w:cs="Times New Roman"/>
          <w:sz w:val="24"/>
          <w:szCs w:val="24"/>
        </w:rPr>
        <w:t xml:space="preserve">ктів, які будуть запропоновані замовнику, для задоволення технічних вимог тендерної документації. Специфікації повинні бути вказані зі ступенем деталізації, достатнім для внесення специфікацій у договір про закупівлю, а також для виконання самого договору.</w:t>
      </w:r>
      <w:r/>
    </w:p>
    <w:p>
      <w:pPr>
        <w:ind w:firstLine="263"/>
        <w:jc w:val="both"/>
        <w:spacing w:after="0" w:line="240" w:lineRule="auto"/>
        <w:rPr>
          <w:rFonts w:ascii="Times New Roman" w:hAnsi="Times New Roman" w:cs="Times New Roman"/>
          <w:sz w:val="24"/>
          <w:szCs w:val="24"/>
        </w:rPr>
      </w:pPr>
      <w:r>
        <w:rPr>
          <w:rFonts w:ascii="Times New Roman" w:hAnsi="Times New Roman" w:cs="Times New Roman"/>
          <w:sz w:val="24"/>
          <w:szCs w:val="24"/>
        </w:rPr>
        <w:t xml:space="preserve">5. Учасник надає перелік авторизованих сервісних центрів служби технічної підтримки, у яких буде здійснюв</w:t>
      </w:r>
      <w:r>
        <w:rPr>
          <w:rFonts w:ascii="Times New Roman" w:hAnsi="Times New Roman" w:cs="Times New Roman"/>
          <w:sz w:val="24"/>
          <w:szCs w:val="24"/>
        </w:rPr>
        <w:t xml:space="preserve">атися гарантійне обслуговування обладнання на території України. Під час постачання обладнання Учасник надає гарантійні талони зі строком гарантії, при поставці обладнання Учасник надає гарантійні талони з вказанням назви обладнання та їх серійні номери.  </w:t>
      </w:r>
      <w:r/>
    </w:p>
    <w:p>
      <w:pPr>
        <w:ind w:right="-1" w:firstLine="263"/>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6. Гарантійні листи повинні бути адресовані Замовнику із обов’язковим зазначенням найменування та номеру закупівлі.</w:t>
      </w:r>
      <w:r/>
    </w:p>
    <w:p>
      <w:pPr>
        <w:ind w:right="-1"/>
        <w:jc w:val="both"/>
        <w:spacing w:after="0" w:line="240" w:lineRule="auto"/>
        <w:widowControl w:val="off"/>
        <w:rPr>
          <w:sz w:val="24"/>
          <w:szCs w:val="24"/>
        </w:rPr>
      </w:pPr>
      <w:r>
        <w:rPr>
          <w:sz w:val="24"/>
          <w:szCs w:val="24"/>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w:t>
      </w:r>
      <w:r>
        <w:rPr>
          <w:rFonts w:ascii="Times New Roman" w:hAnsi="Times New Roman" w:eastAsia="Times New Roman" w:cs="Times New Roman"/>
          <w:sz w:val="24"/>
          <w:szCs w:val="24"/>
          <w:lang w:eastAsia="ru-RU"/>
        </w:rPr>
        <w:t xml:space="preserve">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415 850,00</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грн. (</w:t>
      </w:r>
      <w:r>
        <w:rPr>
          <w:rFonts w:ascii="Times New Roman" w:hAnsi="Times New Roman" w:eastAsia="Times New Roman" w:cs="Times New Roman"/>
          <w:sz w:val="24"/>
          <w:szCs w:val="24"/>
          <w:lang w:eastAsia="ru-RU"/>
        </w:rPr>
        <w:t xml:space="preserve">чотириста п’ятнадцять тисяч вісімсот п’ятдесят</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ень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w:t>
      </w:r>
      <w:r>
        <w:rPr>
          <w:rFonts w:ascii="Times New Roman" w:hAnsi="Times New Roman" w:eastAsia="Times New Roman" w:cs="Times New Roman"/>
          <w:sz w:val="24"/>
          <w:szCs w:val="24"/>
          <w:lang w:eastAsia="ru-RU"/>
        </w:rPr>
        <w:t xml:space="preserve">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Цод = (Ц1 +… + Цк) / К.</w:t>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sz w:val="24"/>
          <w:szCs w:val="24"/>
          <w:vertAlign w:val="superscript"/>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10000000000000000"/>
  </w:font>
  <w:font w:name="Wingdings">
    <w:panose1 w:val="05010000000000000000"/>
  </w:font>
  <w:font w:name="Courier New">
    <w:panose1 w:val="02070309020205020404"/>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8"/>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bullet"/>
      <w:isLgl w:val="false"/>
      <w:suff w:val="tab"/>
      <w:lvlText w:val="-"/>
      <w:lvlJc w:val="left"/>
      <w:pPr>
        <w:ind w:left="-3455" w:hanging="360"/>
      </w:pPr>
      <w:rPr>
        <w:rFonts w:hint="default" w:ascii="Times New Roman" w:hAnsi="Times New Roman" w:eastAsia="Times New Roman" w:cs="Times New Roman"/>
      </w:rPr>
    </w:lvl>
    <w:lvl w:ilvl="1">
      <w:start w:val="1"/>
      <w:numFmt w:val="bullet"/>
      <w:isLgl w:val="false"/>
      <w:suff w:val="tab"/>
      <w:lvlText w:val="o"/>
      <w:lvlJc w:val="left"/>
      <w:pPr>
        <w:ind w:left="-2735" w:hanging="360"/>
      </w:pPr>
      <w:rPr>
        <w:rFonts w:hint="default" w:ascii="Courier New" w:hAnsi="Courier New" w:cs="Courier New"/>
      </w:rPr>
    </w:lvl>
    <w:lvl w:ilvl="2">
      <w:start w:val="1"/>
      <w:numFmt w:val="bullet"/>
      <w:isLgl w:val="false"/>
      <w:suff w:val="tab"/>
      <w:lvlText w:val=""/>
      <w:lvlJc w:val="left"/>
      <w:pPr>
        <w:ind w:left="-2015" w:hanging="360"/>
      </w:pPr>
      <w:rPr>
        <w:rFonts w:hint="default" w:ascii="Wingdings" w:hAnsi="Wingdings"/>
      </w:rPr>
    </w:lvl>
    <w:lvl w:ilvl="3">
      <w:start w:val="1"/>
      <w:numFmt w:val="bullet"/>
      <w:isLgl w:val="false"/>
      <w:suff w:val="tab"/>
      <w:lvlText w:val=""/>
      <w:lvlJc w:val="left"/>
      <w:pPr>
        <w:ind w:left="-1295" w:hanging="360"/>
      </w:pPr>
      <w:rPr>
        <w:rFonts w:hint="default" w:ascii="Symbol" w:hAnsi="Symbol"/>
      </w:rPr>
    </w:lvl>
    <w:lvl w:ilvl="4">
      <w:start w:val="1"/>
      <w:numFmt w:val="bullet"/>
      <w:isLgl w:val="false"/>
      <w:suff w:val="tab"/>
      <w:lvlText w:val="o"/>
      <w:lvlJc w:val="left"/>
      <w:pPr>
        <w:ind w:left="-575" w:hanging="360"/>
      </w:pPr>
      <w:rPr>
        <w:rFonts w:hint="default" w:ascii="Courier New" w:hAnsi="Courier New" w:cs="Courier New"/>
      </w:rPr>
    </w:lvl>
    <w:lvl w:ilvl="5">
      <w:start w:val="1"/>
      <w:numFmt w:val="bullet"/>
      <w:isLgl w:val="false"/>
      <w:suff w:val="tab"/>
      <w:lvlText w:val=""/>
      <w:lvlJc w:val="left"/>
      <w:pPr>
        <w:ind w:left="145" w:hanging="360"/>
      </w:pPr>
      <w:rPr>
        <w:rFonts w:hint="default" w:ascii="Wingdings" w:hAnsi="Wingdings"/>
      </w:rPr>
    </w:lvl>
    <w:lvl w:ilvl="6">
      <w:start w:val="1"/>
      <w:numFmt w:val="bullet"/>
      <w:isLgl w:val="false"/>
      <w:suff w:val="tab"/>
      <w:lvlText w:val=""/>
      <w:lvlJc w:val="left"/>
      <w:pPr>
        <w:ind w:left="865" w:hanging="360"/>
      </w:pPr>
      <w:rPr>
        <w:rFonts w:hint="default" w:ascii="Symbol" w:hAnsi="Symbol"/>
      </w:rPr>
    </w:lvl>
    <w:lvl w:ilvl="7">
      <w:start w:val="1"/>
      <w:numFmt w:val="bullet"/>
      <w:isLgl w:val="false"/>
      <w:suff w:val="tab"/>
      <w:lvlText w:val="o"/>
      <w:lvlJc w:val="left"/>
      <w:pPr>
        <w:ind w:left="1585" w:hanging="360"/>
      </w:pPr>
      <w:rPr>
        <w:rFonts w:hint="default" w:ascii="Courier New" w:hAnsi="Courier New" w:cs="Courier New"/>
      </w:rPr>
    </w:lvl>
    <w:lvl w:ilvl="8">
      <w:start w:val="1"/>
      <w:numFmt w:val="bullet"/>
      <w:isLgl w:val="false"/>
      <w:suff w:val="tab"/>
      <w:lvlText w:val=""/>
      <w:lvlJc w:val="left"/>
      <w:pPr>
        <w:ind w:left="2305" w:hanging="360"/>
      </w:pPr>
      <w:rPr>
        <w:rFonts w:hint="default" w:ascii="Wingdings" w:hAnsi="Wingdings"/>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0">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1">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2">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3">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4">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5">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7">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8">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19">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0">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2">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927" w:hanging="360"/>
      </w:p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25">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6">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8">
    <w:multiLevelType w:val="hybridMultilevel"/>
    <w:lvl w:ilvl="0">
      <w:start w:val="1"/>
      <w:numFmt w:val="bullet"/>
      <w:isLgl w:val="false"/>
      <w:suff w:val="tab"/>
      <w:lvlText w:val="–"/>
      <w:lvlJc w:val="left"/>
      <w:pPr>
        <w:ind w:left="5321" w:hanging="360"/>
      </w:pPr>
      <w:rPr>
        <w:rFonts w:hint="default" w:ascii="Times New Roman" w:hAnsi="Times New Roman" w:cs="Times New Roman"/>
        <w:b/>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39">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2"/>
  </w:num>
  <w:num w:numId="2">
    <w:abstractNumId w:val="18"/>
  </w:num>
  <w:num w:numId="3">
    <w:abstractNumId w:val="8"/>
  </w:num>
  <w:num w:numId="4">
    <w:abstractNumId w:val="26"/>
  </w:num>
  <w:num w:numId="5">
    <w:abstractNumId w:val="7"/>
  </w:num>
  <w:num w:numId="6">
    <w:abstractNumId w:val="33"/>
  </w:num>
  <w:num w:numId="7">
    <w:abstractNumId w:val="11"/>
  </w:num>
  <w:num w:numId="8">
    <w:abstractNumId w:val="35"/>
  </w:num>
  <w:num w:numId="9">
    <w:abstractNumId w:val="2"/>
  </w:num>
  <w:num w:numId="1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3"/>
  </w:num>
  <w:num w:numId="12">
    <w:abstractNumId w:val="9"/>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4"/>
  </w:num>
  <w:num w:numId="17">
    <w:abstractNumId w:val="1"/>
  </w:num>
  <w:num w:numId="18">
    <w:abstractNumId w:val="39"/>
  </w:num>
  <w:num w:numId="19">
    <w:abstractNumId w:val="27"/>
  </w:num>
  <w:num w:numId="2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8"/>
  </w:num>
  <w:num w:numId="25">
    <w:abstractNumId w:val="20"/>
  </w:num>
  <w:num w:numId="26">
    <w:abstractNumId w:val="23"/>
  </w:num>
  <w:num w:numId="27">
    <w:abstractNumId w:val="30"/>
  </w:num>
  <w:num w:numId="28">
    <w:abstractNumId w:val="21"/>
  </w:num>
  <w:num w:numId="29">
    <w:abstractNumId w:val="31"/>
  </w:num>
  <w:num w:numId="30">
    <w:abstractNumId w:val="17"/>
  </w:num>
  <w:num w:numId="31">
    <w:abstractNumId w:val="3"/>
  </w:num>
  <w:num w:numId="32">
    <w:abstractNumId w:val="19"/>
  </w:num>
  <w:num w:numId="33">
    <w:abstractNumId w:val="16"/>
  </w:num>
  <w:num w:numId="34">
    <w:abstractNumId w:val="14"/>
  </w:num>
  <w:num w:numId="35">
    <w:abstractNumId w:val="37"/>
  </w:num>
  <w:num w:numId="36">
    <w:abstractNumId w:val="5"/>
  </w:num>
  <w:num w:numId="3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num>
  <w:num w:numId="39">
    <w:abstractNumId w:val="38"/>
  </w:num>
  <w:num w:numId="4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5"/>
    <w:next w:val="725"/>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9"/>
    <w:link w:val="12"/>
    <w:uiPriority w:val="9"/>
    <w:rPr>
      <w:rFonts w:ascii="Arial" w:hAnsi="Arial" w:eastAsia="Arial" w:cs="Arial"/>
      <w:sz w:val="40"/>
      <w:szCs w:val="40"/>
    </w:rPr>
  </w:style>
  <w:style w:type="character" w:styleId="15">
    <w:name w:val="Heading 2 Char"/>
    <w:basedOn w:val="729"/>
    <w:link w:val="726"/>
    <w:uiPriority w:val="9"/>
    <w:rPr>
      <w:rFonts w:ascii="Arial" w:hAnsi="Arial" w:eastAsia="Arial" w:cs="Arial"/>
      <w:sz w:val="34"/>
    </w:rPr>
  </w:style>
  <w:style w:type="character" w:styleId="17">
    <w:name w:val="Heading 3 Char"/>
    <w:basedOn w:val="729"/>
    <w:link w:val="727"/>
    <w:uiPriority w:val="9"/>
    <w:rPr>
      <w:rFonts w:ascii="Arial" w:hAnsi="Arial" w:eastAsia="Arial" w:cs="Arial"/>
      <w:sz w:val="30"/>
      <w:szCs w:val="30"/>
    </w:rPr>
  </w:style>
  <w:style w:type="character" w:styleId="19">
    <w:name w:val="Heading 4 Char"/>
    <w:basedOn w:val="729"/>
    <w:link w:val="728"/>
    <w:uiPriority w:val="9"/>
    <w:rPr>
      <w:rFonts w:ascii="Arial" w:hAnsi="Arial" w:eastAsia="Arial" w:cs="Arial"/>
      <w:b/>
      <w:bCs/>
      <w:sz w:val="26"/>
      <w:szCs w:val="26"/>
    </w:rPr>
  </w:style>
  <w:style w:type="paragraph" w:styleId="20">
    <w:name w:val="Heading 5"/>
    <w:basedOn w:val="725"/>
    <w:next w:val="725"/>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9"/>
    <w:link w:val="20"/>
    <w:uiPriority w:val="9"/>
    <w:rPr>
      <w:rFonts w:ascii="Arial" w:hAnsi="Arial" w:eastAsia="Arial" w:cs="Arial"/>
      <w:b/>
      <w:bCs/>
      <w:sz w:val="24"/>
      <w:szCs w:val="24"/>
    </w:rPr>
  </w:style>
  <w:style w:type="paragraph" w:styleId="22">
    <w:name w:val="Heading 6"/>
    <w:basedOn w:val="725"/>
    <w:next w:val="725"/>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9"/>
    <w:link w:val="22"/>
    <w:uiPriority w:val="9"/>
    <w:rPr>
      <w:rFonts w:ascii="Arial" w:hAnsi="Arial" w:eastAsia="Arial" w:cs="Arial"/>
      <w:b/>
      <w:bCs/>
      <w:sz w:val="22"/>
      <w:szCs w:val="22"/>
    </w:rPr>
  </w:style>
  <w:style w:type="paragraph" w:styleId="24">
    <w:name w:val="Heading 7"/>
    <w:basedOn w:val="725"/>
    <w:next w:val="725"/>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9"/>
    <w:link w:val="24"/>
    <w:uiPriority w:val="9"/>
    <w:rPr>
      <w:rFonts w:ascii="Arial" w:hAnsi="Arial" w:eastAsia="Arial" w:cs="Arial"/>
      <w:b/>
      <w:bCs/>
      <w:i/>
      <w:iCs/>
      <w:sz w:val="22"/>
      <w:szCs w:val="22"/>
    </w:rPr>
  </w:style>
  <w:style w:type="paragraph" w:styleId="26">
    <w:name w:val="Heading 8"/>
    <w:basedOn w:val="725"/>
    <w:next w:val="725"/>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9"/>
    <w:link w:val="26"/>
    <w:uiPriority w:val="9"/>
    <w:rPr>
      <w:rFonts w:ascii="Arial" w:hAnsi="Arial" w:eastAsia="Arial" w:cs="Arial"/>
      <w:i/>
      <w:iCs/>
      <w:sz w:val="22"/>
      <w:szCs w:val="22"/>
    </w:rPr>
  </w:style>
  <w:style w:type="paragraph" w:styleId="28">
    <w:name w:val="Heading 9"/>
    <w:basedOn w:val="725"/>
    <w:next w:val="725"/>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9"/>
    <w:link w:val="28"/>
    <w:uiPriority w:val="9"/>
    <w:rPr>
      <w:rFonts w:ascii="Arial" w:hAnsi="Arial" w:eastAsia="Arial" w:cs="Arial"/>
      <w:i/>
      <w:iCs/>
      <w:sz w:val="21"/>
      <w:szCs w:val="21"/>
    </w:rPr>
  </w:style>
  <w:style w:type="paragraph" w:styleId="33">
    <w:name w:val="Title"/>
    <w:basedOn w:val="725"/>
    <w:next w:val="725"/>
    <w:link w:val="34"/>
    <w:uiPriority w:val="10"/>
    <w:qFormat/>
    <w:pPr>
      <w:contextualSpacing/>
      <w:spacing w:before="300" w:after="200"/>
    </w:pPr>
    <w:rPr>
      <w:sz w:val="48"/>
      <w:szCs w:val="48"/>
    </w:rPr>
  </w:style>
  <w:style w:type="character" w:styleId="34">
    <w:name w:val="Title Char"/>
    <w:basedOn w:val="729"/>
    <w:link w:val="33"/>
    <w:uiPriority w:val="10"/>
    <w:rPr>
      <w:sz w:val="48"/>
      <w:szCs w:val="48"/>
    </w:rPr>
  </w:style>
  <w:style w:type="paragraph" w:styleId="35">
    <w:name w:val="Subtitle"/>
    <w:basedOn w:val="725"/>
    <w:next w:val="725"/>
    <w:link w:val="36"/>
    <w:uiPriority w:val="11"/>
    <w:qFormat/>
    <w:pPr>
      <w:spacing w:before="200" w:after="200"/>
    </w:pPr>
    <w:rPr>
      <w:sz w:val="24"/>
      <w:szCs w:val="24"/>
    </w:rPr>
  </w:style>
  <w:style w:type="character" w:styleId="36">
    <w:name w:val="Subtitle Char"/>
    <w:basedOn w:val="729"/>
    <w:link w:val="35"/>
    <w:uiPriority w:val="11"/>
    <w:rPr>
      <w:sz w:val="24"/>
      <w:szCs w:val="24"/>
    </w:rPr>
  </w:style>
  <w:style w:type="paragraph" w:styleId="37">
    <w:name w:val="Quote"/>
    <w:basedOn w:val="725"/>
    <w:next w:val="725"/>
    <w:link w:val="38"/>
    <w:uiPriority w:val="29"/>
    <w:qFormat/>
    <w:pPr>
      <w:ind w:left="720" w:right="720"/>
    </w:pPr>
    <w:rPr>
      <w:i/>
    </w:rPr>
  </w:style>
  <w:style w:type="character" w:styleId="38">
    <w:name w:val="Quote Char"/>
    <w:link w:val="37"/>
    <w:uiPriority w:val="29"/>
    <w:rPr>
      <w:i/>
    </w:rPr>
  </w:style>
  <w:style w:type="paragraph" w:styleId="39">
    <w:name w:val="Intense Quote"/>
    <w:basedOn w:val="725"/>
    <w:next w:val="725"/>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5"/>
    <w:link w:val="42"/>
    <w:uiPriority w:val="99"/>
    <w:unhideWhenUsed/>
    <w:pPr>
      <w:spacing w:after="0" w:line="240" w:lineRule="auto"/>
      <w:tabs>
        <w:tab w:val="center" w:pos="7143" w:leader="none"/>
        <w:tab w:val="right" w:pos="14287" w:leader="none"/>
      </w:tabs>
    </w:pPr>
  </w:style>
  <w:style w:type="character" w:styleId="42">
    <w:name w:val="Header Char"/>
    <w:basedOn w:val="729"/>
    <w:link w:val="41"/>
    <w:uiPriority w:val="99"/>
  </w:style>
  <w:style w:type="character" w:styleId="44">
    <w:name w:val="Footer Char"/>
    <w:basedOn w:val="729"/>
    <w:link w:val="738"/>
    <w:uiPriority w:val="99"/>
  </w:style>
  <w:style w:type="paragraph" w:styleId="45">
    <w:name w:val="Caption"/>
    <w:basedOn w:val="725"/>
    <w:next w:val="725"/>
    <w:uiPriority w:val="35"/>
    <w:semiHidden/>
    <w:unhideWhenUsed/>
    <w:qFormat/>
    <w:pPr>
      <w:spacing w:line="276" w:lineRule="auto"/>
    </w:pPr>
    <w:rPr>
      <w:b/>
      <w:bCs/>
      <w:color w:val="4f81bd" w:themeColor="accent1"/>
      <w:sz w:val="18"/>
      <w:szCs w:val="18"/>
    </w:rPr>
  </w:style>
  <w:style w:type="character" w:styleId="46">
    <w:name w:val="Caption Char"/>
    <w:basedOn w:val="45"/>
    <w:link w:val="738"/>
    <w:uiPriority w:val="99"/>
  </w:style>
  <w:style w:type="table" w:styleId="48">
    <w:name w:val="Table Grid Light"/>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5"/>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9"/>
    <w:uiPriority w:val="99"/>
    <w:unhideWhenUsed/>
    <w:rPr>
      <w:vertAlign w:val="superscript"/>
    </w:rPr>
  </w:style>
  <w:style w:type="paragraph" w:styleId="177">
    <w:name w:val="endnote text"/>
    <w:basedOn w:val="725"/>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9"/>
    <w:uiPriority w:val="99"/>
    <w:semiHidden/>
    <w:unhideWhenUsed/>
    <w:rPr>
      <w:vertAlign w:val="superscript"/>
    </w:rPr>
  </w:style>
  <w:style w:type="paragraph" w:styleId="180">
    <w:name w:val="toc 1"/>
    <w:basedOn w:val="725"/>
    <w:next w:val="725"/>
    <w:uiPriority w:val="39"/>
    <w:unhideWhenUsed/>
    <w:pPr>
      <w:ind w:left="0" w:right="0" w:firstLine="0"/>
      <w:spacing w:after="57"/>
    </w:pPr>
  </w:style>
  <w:style w:type="paragraph" w:styleId="181">
    <w:name w:val="toc 2"/>
    <w:basedOn w:val="725"/>
    <w:next w:val="725"/>
    <w:uiPriority w:val="39"/>
    <w:unhideWhenUsed/>
    <w:pPr>
      <w:ind w:left="283" w:right="0" w:firstLine="0"/>
      <w:spacing w:after="57"/>
    </w:pPr>
  </w:style>
  <w:style w:type="paragraph" w:styleId="182">
    <w:name w:val="toc 3"/>
    <w:basedOn w:val="725"/>
    <w:next w:val="725"/>
    <w:uiPriority w:val="39"/>
    <w:unhideWhenUsed/>
    <w:pPr>
      <w:ind w:left="567" w:right="0" w:firstLine="0"/>
      <w:spacing w:after="57"/>
    </w:pPr>
  </w:style>
  <w:style w:type="paragraph" w:styleId="183">
    <w:name w:val="toc 4"/>
    <w:basedOn w:val="725"/>
    <w:next w:val="725"/>
    <w:uiPriority w:val="39"/>
    <w:unhideWhenUsed/>
    <w:pPr>
      <w:ind w:left="850" w:right="0" w:firstLine="0"/>
      <w:spacing w:after="57"/>
    </w:pPr>
  </w:style>
  <w:style w:type="paragraph" w:styleId="184">
    <w:name w:val="toc 5"/>
    <w:basedOn w:val="725"/>
    <w:next w:val="725"/>
    <w:uiPriority w:val="39"/>
    <w:unhideWhenUsed/>
    <w:pPr>
      <w:ind w:left="1134" w:right="0" w:firstLine="0"/>
      <w:spacing w:after="57"/>
    </w:pPr>
  </w:style>
  <w:style w:type="paragraph" w:styleId="185">
    <w:name w:val="toc 6"/>
    <w:basedOn w:val="725"/>
    <w:next w:val="725"/>
    <w:uiPriority w:val="39"/>
    <w:unhideWhenUsed/>
    <w:pPr>
      <w:ind w:left="1417" w:right="0" w:firstLine="0"/>
      <w:spacing w:after="57"/>
    </w:pPr>
  </w:style>
  <w:style w:type="paragraph" w:styleId="186">
    <w:name w:val="toc 7"/>
    <w:basedOn w:val="725"/>
    <w:next w:val="725"/>
    <w:uiPriority w:val="39"/>
    <w:unhideWhenUsed/>
    <w:pPr>
      <w:ind w:left="1701" w:right="0" w:firstLine="0"/>
      <w:spacing w:after="57"/>
    </w:pPr>
  </w:style>
  <w:style w:type="paragraph" w:styleId="187">
    <w:name w:val="toc 8"/>
    <w:basedOn w:val="725"/>
    <w:next w:val="725"/>
    <w:uiPriority w:val="39"/>
    <w:unhideWhenUsed/>
    <w:pPr>
      <w:ind w:left="1984" w:right="0" w:firstLine="0"/>
      <w:spacing w:after="57"/>
    </w:pPr>
  </w:style>
  <w:style w:type="paragraph" w:styleId="188">
    <w:name w:val="toc 9"/>
    <w:basedOn w:val="725"/>
    <w:next w:val="725"/>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5"/>
    <w:next w:val="725"/>
    <w:uiPriority w:val="99"/>
    <w:unhideWhenUsed/>
    <w:pPr>
      <w:spacing w:after="0" w:afterAutospacing="0"/>
    </w:pPr>
  </w:style>
  <w:style w:type="paragraph" w:styleId="725" w:default="1">
    <w:name w:val="Normal"/>
    <w:qFormat/>
    <w:rPr>
      <w:lang w:val="uk-UA"/>
    </w:rPr>
  </w:style>
  <w:style w:type="paragraph" w:styleId="726">
    <w:name w:val="Heading 2"/>
    <w:basedOn w:val="725"/>
    <w:link w:val="747"/>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7">
    <w:name w:val="Heading 3"/>
    <w:basedOn w:val="725"/>
    <w:next w:val="725"/>
    <w:link w:val="764"/>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8">
    <w:name w:val="Heading 4"/>
    <w:basedOn w:val="725"/>
    <w:next w:val="725"/>
    <w:link w:val="765"/>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9" w:default="1">
    <w:name w:val="Default Paragraph Font"/>
    <w:uiPriority w:val="1"/>
    <w:semiHidden/>
    <w:unhideWhenUsed/>
  </w:style>
  <w:style w:type="table" w:styleId="730" w:default="1">
    <w:name w:val="Normal Table"/>
    <w:uiPriority w:val="99"/>
    <w:semiHidden/>
    <w:unhideWhenUsed/>
    <w:tblPr>
      <w:tblInd w:w="0" w:type="dxa"/>
      <w:tblCellMar>
        <w:left w:w="108" w:type="dxa"/>
        <w:top w:w="0" w:type="dxa"/>
        <w:right w:w="108" w:type="dxa"/>
        <w:bottom w:w="0" w:type="dxa"/>
      </w:tblCellMar>
    </w:tblPr>
  </w:style>
  <w:style w:type="numbering" w:styleId="731" w:default="1">
    <w:name w:val="No List"/>
    <w:uiPriority w:val="99"/>
    <w:semiHidden/>
    <w:unhideWhenUsed/>
  </w:style>
  <w:style w:type="paragraph" w:styleId="732">
    <w:name w:val="List Paragraph"/>
    <w:basedOn w:val="725"/>
    <w:link w:val="733"/>
    <w:uiPriority w:val="34"/>
    <w:qFormat/>
    <w:pPr>
      <w:contextualSpacing/>
      <w:ind w:left="720"/>
      <w:spacing w:after="200" w:line="276" w:lineRule="auto"/>
    </w:pPr>
    <w:rPr>
      <w:rFonts w:ascii="Calibri" w:hAnsi="Calibri" w:eastAsia="Calibri" w:cs="Calibri"/>
      <w:lang w:val="ru-RU" w:eastAsia="zh-CN"/>
    </w:rPr>
  </w:style>
  <w:style w:type="character" w:styleId="733" w:customStyle="1">
    <w:name w:val="Абзац списку Знак"/>
    <w:link w:val="732"/>
    <w:uiPriority w:val="34"/>
    <w:qFormat/>
    <w:rPr>
      <w:rFonts w:ascii="Calibri" w:hAnsi="Calibri" w:eastAsia="Calibri" w:cs="Calibri"/>
      <w:lang w:eastAsia="zh-CN"/>
    </w:rPr>
  </w:style>
  <w:style w:type="table" w:styleId="734">
    <w:name w:val="Table Grid"/>
    <w:basedOn w:val="730"/>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5" w:customStyle="1">
    <w:name w:val="Сетка таблицы2"/>
    <w:basedOn w:val="730"/>
    <w:next w:val="734"/>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6">
    <w:name w:val="Normal (Web)"/>
    <w:basedOn w:val="725"/>
    <w:link w:val="743"/>
    <w:unhideWhenUsed/>
    <w:qFormat/>
    <w:rPr>
      <w:rFonts w:ascii="Times New Roman" w:hAnsi="Times New Roman" w:cs="Times New Roman"/>
      <w:sz w:val="24"/>
      <w:szCs w:val="24"/>
    </w:rPr>
  </w:style>
  <w:style w:type="table" w:styleId="737" w:customStyle="1">
    <w:name w:val="Сетка таблицы1"/>
    <w:basedOn w:val="730"/>
    <w:next w:val="734"/>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Footer"/>
    <w:basedOn w:val="725"/>
    <w:link w:val="739"/>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9" w:customStyle="1">
    <w:name w:val="Нижній колонтитул Знак"/>
    <w:basedOn w:val="729"/>
    <w:link w:val="738"/>
    <w:uiPriority w:val="99"/>
    <w:rPr>
      <w:rFonts w:ascii="Calibri" w:hAnsi="Calibri" w:eastAsia="Calibri" w:cs="Calibri"/>
      <w:lang w:eastAsia="zh-CN"/>
    </w:rPr>
  </w:style>
  <w:style w:type="paragraph" w:styleId="740"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1">
    <w:name w:val="Hyperlink"/>
    <w:basedOn w:val="729"/>
    <w:uiPriority w:val="99"/>
    <w:unhideWhenUsed/>
    <w:rPr>
      <w:color w:val="0563c1" w:themeColor="hyperlink"/>
      <w:u w:val="single"/>
    </w:rPr>
  </w:style>
  <w:style w:type="character" w:styleId="742" w:customStyle="1">
    <w:name w:val="xfm_93972720"/>
    <w:basedOn w:val="729"/>
  </w:style>
  <w:style w:type="character" w:styleId="743" w:customStyle="1">
    <w:name w:val="Звичайний (веб) Знак"/>
    <w:link w:val="736"/>
    <w:qFormat/>
    <w:rPr>
      <w:rFonts w:ascii="Times New Roman" w:hAnsi="Times New Roman" w:cs="Times New Roman"/>
      <w:sz w:val="24"/>
      <w:szCs w:val="24"/>
      <w:lang w:val="uk-UA"/>
    </w:rPr>
  </w:style>
  <w:style w:type="paragraph" w:styleId="744">
    <w:name w:val="Body Text 2"/>
    <w:basedOn w:val="725"/>
    <w:link w:val="745"/>
    <w:pPr>
      <w:spacing w:after="0" w:line="240" w:lineRule="auto"/>
    </w:pPr>
    <w:rPr>
      <w:rFonts w:ascii="Times New Roman" w:hAnsi="Times New Roman" w:eastAsia="Times New Roman" w:cs="Times New Roman"/>
      <w:sz w:val="28"/>
      <w:szCs w:val="20"/>
      <w:lang w:val="ru-RU" w:eastAsia="ru-RU"/>
    </w:rPr>
  </w:style>
  <w:style w:type="character" w:styleId="745" w:customStyle="1">
    <w:name w:val="Основний текст 2 Знак"/>
    <w:basedOn w:val="729"/>
    <w:link w:val="744"/>
    <w:rPr>
      <w:rFonts w:ascii="Times New Roman" w:hAnsi="Times New Roman" w:eastAsia="Times New Roman" w:cs="Times New Roman"/>
      <w:sz w:val="28"/>
      <w:szCs w:val="20"/>
      <w:lang w:eastAsia="ru-RU"/>
    </w:rPr>
  </w:style>
  <w:style w:type="paragraph" w:styleId="746"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7" w:customStyle="1">
    <w:name w:val="Заголовок 2 Знак"/>
    <w:basedOn w:val="729"/>
    <w:link w:val="726"/>
    <w:uiPriority w:val="9"/>
    <w:rPr>
      <w:rFonts w:ascii="Times New Roman" w:hAnsi="Times New Roman" w:eastAsia="Times New Roman" w:cs="Times New Roman"/>
      <w:b/>
      <w:bCs/>
      <w:sz w:val="36"/>
      <w:szCs w:val="36"/>
      <w:lang w:val="uk-UA" w:eastAsia="uk-UA"/>
    </w:rPr>
  </w:style>
  <w:style w:type="paragraph" w:styleId="748">
    <w:name w:val="No Spacing"/>
    <w:link w:val="749"/>
    <w:uiPriority w:val="1"/>
    <w:qFormat/>
    <w:pPr>
      <w:spacing w:after="0" w:line="240" w:lineRule="auto"/>
    </w:pPr>
    <w:rPr>
      <w:rFonts w:ascii="Calibri" w:hAnsi="Calibri" w:eastAsia="Calibri" w:cs="Times New Roman"/>
      <w:lang w:val="uk-UA"/>
    </w:rPr>
  </w:style>
  <w:style w:type="character" w:styleId="749" w:customStyle="1">
    <w:name w:val="Без інтервалів Знак"/>
    <w:basedOn w:val="729"/>
    <w:link w:val="748"/>
    <w:uiPriority w:val="1"/>
    <w:rPr>
      <w:rFonts w:ascii="Calibri" w:hAnsi="Calibri" w:eastAsia="Calibri" w:cs="Times New Roman"/>
      <w:lang w:val="uk-UA"/>
    </w:rPr>
  </w:style>
  <w:style w:type="character" w:styleId="750" w:customStyle="1">
    <w:name w:val="Другое_"/>
    <w:basedOn w:val="729"/>
    <w:link w:val="751"/>
    <w:rPr>
      <w:rFonts w:ascii="Calibri" w:hAnsi="Calibri" w:eastAsia="Calibri" w:cs="Calibri"/>
      <w:sz w:val="20"/>
      <w:szCs w:val="20"/>
    </w:rPr>
  </w:style>
  <w:style w:type="paragraph" w:styleId="751" w:customStyle="1">
    <w:name w:val="Другое"/>
    <w:basedOn w:val="725"/>
    <w:link w:val="750"/>
    <w:qFormat/>
    <w:pPr>
      <w:spacing w:after="0" w:line="240" w:lineRule="auto"/>
      <w:widowControl w:val="off"/>
    </w:pPr>
    <w:rPr>
      <w:rFonts w:ascii="Calibri" w:hAnsi="Calibri" w:eastAsia="Calibri" w:cs="Calibri"/>
      <w:sz w:val="20"/>
      <w:szCs w:val="20"/>
      <w:lang w:val="ru-RU"/>
    </w:rPr>
  </w:style>
  <w:style w:type="paragraph" w:styleId="752"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3" w:customStyle="1">
    <w:name w:val="Основной текст (2)_"/>
    <w:basedOn w:val="729"/>
    <w:link w:val="754"/>
    <w:rPr>
      <w:rFonts w:eastAsia="Times New Roman" w:cs="Times New Roman"/>
      <w:shd w:val="clear" w:color="auto" w:fill="ffffff"/>
    </w:rPr>
  </w:style>
  <w:style w:type="paragraph" w:styleId="754" w:customStyle="1">
    <w:name w:val="Основной текст (2)"/>
    <w:basedOn w:val="725"/>
    <w:link w:val="753"/>
    <w:pPr>
      <w:ind w:hanging="700"/>
      <w:jc w:val="both"/>
      <w:spacing w:before="240" w:after="480" w:line="0" w:lineRule="atLeast"/>
      <w:shd w:val="clear" w:color="auto" w:fill="ffffff"/>
      <w:widowControl w:val="off"/>
    </w:pPr>
    <w:rPr>
      <w:rFonts w:eastAsia="Times New Roman" w:cs="Times New Roman"/>
      <w:lang w:val="ru-RU"/>
    </w:rPr>
  </w:style>
  <w:style w:type="character" w:styleId="755" w:customStyle="1">
    <w:name w:val="Текст у виносці Знак"/>
    <w:basedOn w:val="729"/>
    <w:link w:val="756"/>
    <w:uiPriority w:val="99"/>
    <w:semiHidden/>
    <w:rPr>
      <w:rFonts w:ascii="Segoe UI" w:hAnsi="Segoe UI" w:eastAsia="Times New Roman" w:cs="Segoe UI"/>
      <w:sz w:val="18"/>
      <w:szCs w:val="18"/>
      <w:lang w:eastAsia="ru-RU"/>
    </w:rPr>
  </w:style>
  <w:style w:type="paragraph" w:styleId="756">
    <w:name w:val="Balloon Text"/>
    <w:basedOn w:val="725"/>
    <w:link w:val="755"/>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7" w:customStyle="1">
    <w:name w:val="Текст у виносці Знак1"/>
    <w:basedOn w:val="729"/>
    <w:uiPriority w:val="99"/>
    <w:semiHidden/>
    <w:rPr>
      <w:rFonts w:ascii="Segoe UI" w:hAnsi="Segoe UI" w:cs="Segoe UI"/>
      <w:sz w:val="18"/>
      <w:szCs w:val="18"/>
      <w:lang w:val="uk-UA"/>
    </w:rPr>
  </w:style>
  <w:style w:type="character" w:styleId="758" w:customStyle="1">
    <w:name w:val="T23"/>
    <w:rPr>
      <w:rFonts w:hint="default" w:ascii="Times New Roman" w:hAnsi="Times New Roman" w:eastAsia="Times New Roman1" w:cs="Times New Roman"/>
    </w:rPr>
  </w:style>
  <w:style w:type="paragraph" w:styleId="759" w:customStyle="1">
    <w:name w:val="Абзац списку1"/>
    <w:basedOn w:val="725"/>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0" w:customStyle="1">
    <w:name w:val="markedcontent"/>
    <w:basedOn w:val="729"/>
  </w:style>
  <w:style w:type="paragraph" w:styleId="761">
    <w:name w:val="annotation text"/>
    <w:basedOn w:val="725"/>
    <w:link w:val="762"/>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2" w:customStyle="1">
    <w:name w:val="Текст примітки Знак"/>
    <w:basedOn w:val="729"/>
    <w:link w:val="761"/>
    <w:uiPriority w:val="99"/>
    <w:rPr>
      <w:rFonts w:ascii="Times New Roman" w:hAnsi="Times New Roman" w:eastAsia="Times New Roman" w:cs="Times New Roman"/>
      <w:sz w:val="20"/>
      <w:szCs w:val="20"/>
      <w:lang w:eastAsia="ru-RU"/>
    </w:rPr>
  </w:style>
  <w:style w:type="character" w:styleId="763" w:customStyle="1">
    <w:name w:val="docdata"/>
    <w:basedOn w:val="729"/>
  </w:style>
  <w:style w:type="character" w:styleId="764" w:customStyle="1">
    <w:name w:val="Заголовок 3 Знак"/>
    <w:basedOn w:val="729"/>
    <w:link w:val="727"/>
    <w:uiPriority w:val="9"/>
    <w:semiHidden/>
    <w:rPr>
      <w:rFonts w:asciiTheme="majorHAnsi" w:hAnsiTheme="majorHAnsi" w:eastAsiaTheme="majorEastAsia" w:cstheme="majorBidi"/>
      <w:color w:val="1f4d78" w:themeColor="accent1" w:themeShade="7F"/>
      <w:sz w:val="24"/>
      <w:szCs w:val="24"/>
      <w:lang w:val="uk-UA"/>
    </w:rPr>
  </w:style>
  <w:style w:type="character" w:styleId="765" w:customStyle="1">
    <w:name w:val="Заголовок 4 Знак"/>
    <w:basedOn w:val="729"/>
    <w:link w:val="728"/>
    <w:uiPriority w:val="9"/>
    <w:semiHidden/>
    <w:rPr>
      <w:rFonts w:asciiTheme="majorHAnsi" w:hAnsiTheme="majorHAnsi" w:eastAsiaTheme="majorEastAsia" w:cstheme="majorBidi"/>
      <w:i/>
      <w:iCs/>
      <w:color w:val="2e74b5" w:themeColor="accent1" w:themeShade="BF"/>
      <w:lang w:val="uk-UA"/>
    </w:rPr>
  </w:style>
  <w:style w:type="paragraph" w:styleId="766" w:customStyle="1">
    <w:name w:val="name-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7" w:customStyle="1">
    <w:name w:val="cont-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8">
    <w:name w:val="Strong"/>
    <w:basedOn w:val="729"/>
    <w:uiPriority w:val="22"/>
    <w:qFormat/>
    <w:rPr>
      <w:b/>
      <w:bCs/>
    </w:rPr>
  </w:style>
  <w:style w:type="paragraph" w:styleId="769" w:customStyle="1">
    <w:name w:val="rvps6"/>
    <w:basedOn w:val="725"/>
    <w:uiPriority w:val="99"/>
    <w:pPr>
      <w:spacing w:before="100" w:beforeAutospacing="1" w:after="100" w:afterAutospacing="1" w:line="240" w:lineRule="auto"/>
    </w:pPr>
    <w:rPr>
      <w:rFonts w:ascii="Times New Roman" w:hAnsi="Times New Roman" w:eastAsia="Times New Roman" w:cs="Times New Roman"/>
      <w:sz w:val="24"/>
      <w:szCs w:val="24"/>
      <w:lang w:val="ru-RU" w:eastAsia="ru-RU"/>
    </w:rPr>
  </w:style>
  <w:style w:type="table" w:styleId="770" w:customStyle="1">
    <w:name w:val="Сітка таблиці1"/>
    <w:pPr>
      <w:spacing w:after="0" w:line="240" w:lineRule="auto"/>
    </w:pPr>
    <w:rPr>
      <w:rFonts w:eastAsiaTheme="minorEastAsia"/>
      <w:lang w:val="uk-UA"/>
    </w:rPr>
    <w:tblPr>
      <w:tblCellMar>
        <w:left w:w="0" w:type="dxa"/>
        <w:top w:w="0" w:type="dxa"/>
        <w:right w:w="0" w:type="dxa"/>
        <w:bottom w:w="0" w:type="dxa"/>
      </w:tblCellMar>
    </w:tbl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165</cp:revision>
  <dcterms:created xsi:type="dcterms:W3CDTF">2022-11-01T12:47:00Z</dcterms:created>
  <dcterms:modified xsi:type="dcterms:W3CDTF">2024-06-28T07:40:15Z</dcterms:modified>
</cp:coreProperties>
</file>