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2"/>
        <w:jc w:val="both"/>
        <w:spacing w:before="0" w:after="0"/>
        <w:shd w:val="clear" w:color="auto" w:fill="ffffff" w:themeFill="background1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Роботи з розроблення 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проєктно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-кошторисної документації лінійної частини приєднання електричних мереж від найближчої точки в існуючих електричних мережах (трансформаторна підстанція) оператора системи розподілу до точок приєднання електроустановок ДУ ЦІТ МВС України </w:t>
      </w:r>
      <w:hyperlink r:id="rId11" w:tooltip="https://www.dzo.com.ua/tenders/17227183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та роботи з будівництва електричних мереж лінійної частини приєднання на об'єкті з </w:t>
        </w:r>
        <w:bookmarkStart w:id="0" w:name="_Hlk131171036"/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реконструкції виробничої будівлі АПК літ. "А" під Галузевий державний архів МВС України</w:t>
        </w:r>
        <w:bookmarkEnd w:id="0"/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за 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адресою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: 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м.Київ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вул.Волинська</w:t>
        </w:r>
        <w:r>
          <w:rPr>
            <w:rStyle w:val="86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26 за ДК 021:2015: 45310000-3 </w:t>
        </w:r>
        <w:r>
          <w:rPr>
            <w:rFonts w:ascii="Times New Roman" w:hAnsi="Times New Roman" w:cs="Times New Roman"/>
            <w:sz w:val="24"/>
            <w:szCs w:val="24"/>
          </w:rPr>
          <w:t xml:space="preserve">Електромонтажні роботи</w:t>
        </w:r>
        <w:r>
          <w:rPr>
            <w:rStyle w:val="867"/>
            <w:color w:val="auto"/>
            <w:sz w:val="28"/>
            <w:szCs w:val="28"/>
          </w:rPr>
          <w:t xml:space="preserve"> </w:t>
        </w:r>
      </w:hyperlink>
      <w:r/>
      <w:r/>
    </w:p>
    <w:p>
      <w:pPr>
        <w:pStyle w:val="866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UA-2023-03-3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007919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оботи з розроблення </w:t>
      </w:r>
      <w:r>
        <w:rPr>
          <w:rFonts w:ascii="Times New Roman" w:hAnsi="Times New Roman" w:cs="Times New Roman"/>
          <w:sz w:val="24"/>
          <w:szCs w:val="24"/>
        </w:rPr>
        <w:t xml:space="preserve">проєктно</w:t>
      </w:r>
      <w:r>
        <w:rPr>
          <w:rFonts w:ascii="Times New Roman" w:hAnsi="Times New Roman" w:cs="Times New Roman"/>
          <w:sz w:val="24"/>
          <w:szCs w:val="24"/>
        </w:rPr>
        <w:t xml:space="preserve">-кошторисної документації лінійної частини приєднання електричних мереж від найближчої точки в існуючих електричних мережах (трансформаторна підстанція) оп</w:t>
      </w:r>
      <w:r>
        <w:rPr>
          <w:rFonts w:ascii="Times New Roman" w:hAnsi="Times New Roman" w:cs="Times New Roman"/>
          <w:sz w:val="24"/>
          <w:szCs w:val="24"/>
        </w:rPr>
        <w:t xml:space="preserve">ератора системи розподілу до точок приєднання електроустановок ДУ ЦІТ МВС України та роботи з будівництва електричних мереж лінійної частини приєднання на об'єкті з реконструкції виробничої будівлі АПК літ. «А» під Галузевий державний архів МВС України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м.Київ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вул.Волинська</w:t>
      </w:r>
      <w:r>
        <w:rPr>
          <w:rFonts w:ascii="Times New Roman" w:hAnsi="Times New Roman" w:cs="Times New Roman"/>
          <w:sz w:val="24"/>
          <w:szCs w:val="24"/>
        </w:rPr>
        <w:t xml:space="preserve">, 26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tbl>
      <w:tblPr>
        <w:tblW w:w="9711" w:type="dxa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550"/>
        <w:gridCol w:w="5966"/>
        <w:gridCol w:w="1925"/>
        <w:gridCol w:w="12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№</w:t>
            </w:r>
            <w:r/>
          </w:p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Перелік послуг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Горизонтальне буріння (прокол під дорогою) ТП 3649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Нарізання щілин в асфальтобетонному покритті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баровою</w:t>
            </w:r>
            <w:r>
              <w:rPr>
                <w:spacing w:val="-3"/>
              </w:rPr>
              <w:t xml:space="preserve"> установкою, глибина щілини 600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 щебеневих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асфальтобетонних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0,48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Розроблення ґрунту у відвал екскаваторами "драглайн"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або "зворотна лопата"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місткістю 0,25 м3, група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ґрунтів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15,3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Доробка вручну, зачистка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стiнок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вручну з викидом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котлованах i траншеях, розроблених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механiзованим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способом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ґрунту екскаваторами "драглайн" або "зворотна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лопата"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місткістю 0,25 м3, група ґрунтів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15,3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вручну траншей, пазух котлованів і ям, група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ґрунтів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Ущільнення ґрунту пневматичними трамбівками, група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ґрунтів 1,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15,3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Буріння пілотної свердловини діаметром до 114 мм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установками горизонтально спрямованого буріння, сила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протяжки до 36300 кг, група </w:t>
            </w:r>
            <w:r>
              <w:rPr>
                <w:spacing w:val="-3"/>
              </w:rPr>
              <w:t xml:space="preserve">грунту</w:t>
            </w:r>
            <w:r>
              <w:rPr>
                <w:spacing w:val="-3"/>
              </w:rPr>
              <w:t xml:space="preserve">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Розширення свердловини установками горизонтально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спрямованого буріння, сила протяжки до 36300 кг,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2, діаметр розширення понад 114 мм до 300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Протягування нитки трубопроводу з поліетиленових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 у свердловину установками горизонтально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спрямованого буріння, сила протяжки до 36300 кг,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зовнішній діаметр труб до 200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та знімання оголовка для протягування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трубопроводів з поліетиленових труб, діаметр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трубопроводу до 110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оголовок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Будівельно-монтажні роботи (ТП3649)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асфальтобетонних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1,975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Розбирання дорожніх покриттів та основ щебеневих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5,925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самоскиди, місткість </w:t>
            </w:r>
            <w:r>
              <w:rPr>
                <w:spacing w:val="-3"/>
              </w:rPr>
              <w:t xml:space="preserve">ковша</w:t>
            </w:r>
            <w:r>
              <w:rPr>
                <w:spacing w:val="-3"/>
              </w:rPr>
              <w:t xml:space="preserve"> екскаватора 0,5 м3.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13,6275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Перевезення сміття до 18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13,6275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одношарової основи зі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щебеню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</w:t>
            </w:r>
            <w:r/>
          </w:p>
          <w:p>
            <w:pPr>
              <w:pStyle w:val="862"/>
              <w:spacing w:after="0" w:line="240" w:lineRule="auto"/>
              <w:tabs>
                <w:tab w:val="left" w:pos="1140" w:leader="none"/>
              </w:tabs>
            </w:pPr>
            <w:r>
              <w:rPr>
                <w:spacing w:val="-3"/>
              </w:rPr>
              <w:t xml:space="preserve">товщини 15 см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39,5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верхнього шару покриття товщиною 5 см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асфальтобетонних сумішей асфальтоукладальником за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ширини укладання 7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39,5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вручну в траншеях глибиною до 2 м без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кріплень з укосами, група ґрунтів 1(110 земля+79 земля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 асфальт.)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67,7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вручну траншей, пазух котлованів і ям,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ґрунтів 1(раніше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48,8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ґрунту до 18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30,24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постелі при одному кабелі у траншеї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(АВВГ 4х240)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184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Додавати до норми 8-142-1 на кожний наступний кабель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 улаштуванні постелі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184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у готових траншеях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 покриттів, маса 1 м до 6 кг (АВВГ 4х240)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368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Покривання 1-2 кабелів, прокладених у траншеї,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сигнальною стрічкою (4х240)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 </w:t>
            </w:r>
            <w:r>
              <w:rPr>
                <w:spacing w:val="-3"/>
              </w:rPr>
              <w:t xml:space="preserve">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 у прокладених трубах, блоках і коробах,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маса 1 м до 6 кг (прокол під дорогою)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72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по установлених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конструкціях і лотках з кріпленням по всій довжині, маса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м до 6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муфти сполучної епоксидної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напругою до 1 кВ, переріз однієї жили до 240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напругою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1 кВ, переріз однієї жили до 240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пристрою та підключення кабелів або проводів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зовнішньої мережі до апаратів та приладів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ввідно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розподільного пристрою ВРП-1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пристрій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Електровимірювальні та пусконалагоджувальні роботи (ТП3649)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Вимикач автоматичний змінного струму швидкодіючий,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номінальний струм до 1000 А, напруга понад 1 кВ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Вимірювання опору ізоляції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мегаомметром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Вимір.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Вимірювання опору ізоляції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мегаомметром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кабельних 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інших ліній, напруга до 1 кВ, призначених для передачі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електроенергії розподільним пристроям, щитам, шафам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 комутаційним апаратам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Лінія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Фазування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електричної лінії або трансформатора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мережею, напруга до 1 кВ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Фаз-ня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Будівельно-монтажні роботи (ТП 4082)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асфальтобетонних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6,15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 щебеневих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18,45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дорожніх покриттів та основ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цементобетонних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самоскиди, місткість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екскаватора 0,5 м3.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 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44,535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18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44,535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вручну в траншеях глибиною до 2 м без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кріплень з укосами, група ґрунтів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108,4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вручну траншей, пазух котлованів і ям,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ґрунтів 1(раніше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розробл.грунт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74,9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Перевезення ґрунту до 18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15,36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трубопроводів із поліетиленових труб,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більше 2-х каналів (14м для вводів </w:t>
            </w:r>
            <w:r>
              <w:rPr>
                <w:spacing w:val="-3"/>
              </w:rPr>
              <w:t xml:space="preserve">кабеля</w:t>
            </w:r>
            <w:r>
              <w:rPr>
                <w:spacing w:val="-3"/>
              </w:rPr>
              <w:t xml:space="preserve"> в </w:t>
            </w:r>
            <w:r>
              <w:rPr>
                <w:spacing w:val="-3"/>
              </w:rPr>
              <w:t xml:space="preserve">преміщ</w:t>
            </w:r>
            <w:r>
              <w:rPr>
                <w:spacing w:val="-3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0,482</w:t>
            </w:r>
            <w:r/>
          </w:p>
        </w:tc>
      </w:tr>
      <w:tr>
        <w:trPr>
          <w:trHeight w:val="19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Свердління кільцевими алмазними свердлами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застосуванням охолоджувальної рідини /води/ 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залізобетонних конструкціях горизонтальних отворів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глибиною 800 мм, Ф125 мм при виконанні робіт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поблизу об'єктів, що знаходяться під високою напругою,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що пов'язано з обмеженням дій працюючих вимогами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техніки безпеки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постелі при одному кабелі у траншеї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(АВВГ 5*185+ АВВГ 5*120+4х240+10х2,5)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239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Додавати до норми 8-142-1 на кожний наступний кабель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при улаштуванні постелі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239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у готових траншеях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без покриттів, маса 1 м до 2 кг (КВВГ 10х2,5)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у готових траншеях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без покриттів, маса 1 м до 3 кг (АВВГ 5х120)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у готових траншеях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без покриттів, маса 1 м до 6 кг (АВВГ 5х185)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у готових траншеях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без покриттів, маса 1 м до 23 кг (4х240 ВВГ)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Покривання 1-2 кабелів, прокладених у траншеї,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сигнальною стрічкою (вся траса+ труба)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 </w:t>
            </w:r>
            <w:r>
              <w:rPr>
                <w:spacing w:val="-3"/>
              </w:rPr>
              <w:t xml:space="preserve">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 у прокладених трубах, блоках і коробах,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маса 1 м до 6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144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 у прокладених трубах, блоках і коробах,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маса 1 м до 3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по установлених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конструкціях і лотках з кріпленням по всій довжині, маса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м до 23 кг (до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генерат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по установлених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конструкціях і лотках з кріпленням по всій довжині, маса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м до 6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по установлених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конструкціях і лотках з кріпленням по всій довжині, маса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м до 3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Кабель до 35 кВ, що прокладається по установлених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конструкціях і лотках з кріпленням по всій довжині, маса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м до 2 кг (КВВГ)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напругою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1 кВ, переріз однієї жили до 120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напругою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1 кВ, переріз однієї жили до 185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напругою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1 кВ, переріз однієї жили до 240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Герметизацiя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проходiв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вводi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кабелiв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вибухонебезпечнi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примiщення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прохід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 пристрою та підключення кабелів або проводів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зовнішньої мережі до апаратів та приладів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ввідно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розподільного пристрою ВРУ1-22-43, -22-44, -23-43,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пристрій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вручну в траншеях глибиною до 2 м без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кріплень з укосами, група ґрунтів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вручну траншей, пазух котлованів і ям,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ґрунтів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Заземлювач горизонтальний у траншеї зі сталі штабової,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переріз 160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Заземлювач вертикальний з круглої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сталi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дiаметром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20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мм (глибина 10 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Електровимірювальні та пусконалагоджувальні роботи (ТП 4082)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Вимикач автоматичний змінного струму швидкодіючий,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номінальний струм до 1000 А, напруга понад 1 кВ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Вимірювання опору ізоляції </w:t>
            </w:r>
            <w:r>
              <w:rPr>
                <w:spacing w:val="-3"/>
              </w:rPr>
              <w:t xml:space="preserve">мегаомметром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Вимір.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Вимірювання опору ізоляції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мегаомметром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кабельних 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інших ліній, напруга до 1 кВ, призначених для передачі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електроенергії розподільним пристроям, щитам, шафам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і комутаційним апаратам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Лінія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spacing w:val="-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Фазування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електричної лінії або трансформатора з</w:t>
            </w:r>
            <w:r/>
          </w:p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мережею, напруга до 1 кВ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Фаз-ня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№</w:t>
            </w:r>
            <w:r/>
          </w:p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Матеріали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Бірка</w:t>
            </w:r>
            <w:r>
              <w:t xml:space="preserve"> маркувальна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0,8976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Бірка-прикінцевлювач</w:t>
            </w:r>
            <w:r>
              <w:t xml:space="preserve"> А631, А671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1,34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Бітуми нафтові дорожні в'язкі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0,01185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Болти будівельні з гайками та шайбами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0,00968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Вода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1,596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Гільза з'єднувальна Г-25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0,0612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Гвинти для забивання безмуфтового стрижня заземлення (гільза 240 мм)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Глина бентонітова для горизонтально-спрямованого буріння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0,34914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Діагональний з'єднувач стриж д-20мм і полоси 40мм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rPr>
                <w:spacing w:val="-3"/>
              </w:rPr>
              <w:t xml:space="preserve">Дріт сталевий оцинкований, діаметр 2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0,0003724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Дрантя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4,2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Електроди, діаметр 5 мм, марка Э42А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0,002625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Емаль ЭП-51 світло-сіра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Заглушка для </w:t>
            </w:r>
            <w:r>
              <w:t xml:space="preserve">двост</w:t>
            </w:r>
            <w:r>
              <w:t xml:space="preserve">. труб Д=110 мм (на резервні труби)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Кабелі контрольні з мідними жилами, з </w:t>
            </w:r>
            <w:r>
              <w:t xml:space="preserve">полівінілхлоридною</w:t>
            </w:r>
            <w:r>
              <w:t xml:space="preserve"> ізоляцією та оболонкою, марка КВВГ 10х2,5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1000м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0,23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Кабель АВВГ 4х240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1000м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0,45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Кабель АВВГ 5х120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1000м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0,32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</w:pPr>
            <w:r>
              <w:t xml:space="preserve">Кабель АВВГ 5х185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1000м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0,42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t xml:space="preserve">Кабель </w:t>
            </w:r>
            <w:r>
              <w:t xml:space="preserve">ВВГнгд</w:t>
            </w:r>
            <w:r>
              <w:t xml:space="preserve"> 4х240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1000м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0,23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t xml:space="preserve">Лак, марка 177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0,007775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Муфта з'єднувальна POLJ-01/4x150-240 1 кВ з болтовими гільзами в  комплекті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комплект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Муфта </w:t>
            </w:r>
            <w:r>
              <w:rPr>
                <w:spacing w:val="-3"/>
              </w:rPr>
              <w:t xml:space="preserve">кiнцева</w:t>
            </w:r>
            <w:r>
              <w:rPr>
                <w:spacing w:val="-3"/>
              </w:rPr>
              <w:t xml:space="preserve"> 1кВ  (70-120)мм2 POLT-01/5X70-120-L12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Муфта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кiнцева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1кВ EPKT 0063-L12  /120-240/ мм2 з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болтовими наконечниками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Муфта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кiнцева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1кВ з наконечниками (150-240)мм2 POLT-01/5X150-240-L12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Муфта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кiнцева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EPKT 0063-L12 1 кВ /120-240/ мм2 з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болтовими  наконечниками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Наконечники кабельні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134,64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Пісок природний, рядовий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42,3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Перемичка заземлювальна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Полімерні добавки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29,139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Проводи мідні гнучкі, марка МГ, переріз 4 мм2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0,00048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Свердла кільцеві алмазні, діаметр 125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0,1414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Скобки для проводів кабелів </w:t>
            </w:r>
            <w:r>
              <w:rPr>
                <w:spacing w:val="-3"/>
              </w:rPr>
              <w:t xml:space="preserve">дволапкові</w:t>
            </w:r>
            <w:r>
              <w:rPr>
                <w:spacing w:val="-3"/>
              </w:rPr>
              <w:t xml:space="preserve"> К731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100шт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1,02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Смуга 40х4мм сталь </w:t>
            </w:r>
            <w:r>
              <w:rPr>
                <w:spacing w:val="-3"/>
              </w:rPr>
              <w:t xml:space="preserve">горячого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оцин</w:t>
            </w:r>
            <w:r>
              <w:rPr>
                <w:spacing w:val="-3"/>
              </w:rPr>
              <w:t xml:space="preserve">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80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tabs>
                <w:tab w:val="left" w:pos="1125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Стрічка сигнальна (шир. 150 мм)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Стрижень заземлення безмуфтовий із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шпильк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д=20мм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довж.1,5 сталь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Стрижень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заземленнябезмуфтовий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загостр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д=20мм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довж.1,5 сталь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Суміші асфальтобетонні гарячі [асфальтобетон щільний]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(дорожні)(аеродромні), з гумовим дрібняком, що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застосовуються у верхніх шарах покриттів, піщані, тип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Г,марка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4,8032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Труба посилена гофрована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двостінна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 поліетилену  ПЕ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Д110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482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Труби поліетиленові для подачі холодної води РЕ 100 SDR-17(1,0 МПа), зовнішній діаметр 110х6,6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Ущiльнювач</w:t>
            </w:r>
            <w:r>
              <w:rPr>
                <w:spacing w:val="-3"/>
              </w:rPr>
              <w:t xml:space="preserve"> кабельних проходів RDSS-100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Щебінь із природного каменю для будівельних робіт,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фракція 10-20 мм, марка М1000 і більше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0,5925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Щебінь із природного каменю для будівельних робіт,</w:t>
            </w:r>
            <w:r/>
          </w:p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фракція 40-70 мм, марка М1000 і більше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м3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7,4655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Щит ВРП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Щит ВРП-1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</w:pPr>
            <w:r>
              <w:rPr>
                <w:spacing w:val="-3"/>
              </w:rPr>
              <w:t xml:space="preserve">1</w:t>
            </w:r>
            <w:r/>
          </w:p>
        </w:tc>
      </w:tr>
    </w:tbl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1"/>
        <w:jc w:val="center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ЗАВДАННЯ НА ПРОЄКТУВАННЯ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розробку проектної документації електропостачання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 об'єкту: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Реконструкції виробничої будівлі АПК літ. "А" під Галузевий державний архів МВС України</w:t>
      </w:r>
      <w:r/>
    </w:p>
    <w:p>
      <w:pPr>
        <w:jc w:val="center"/>
        <w:spacing w:before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0252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3518"/>
        <w:gridCol w:w="6129"/>
      </w:tblGrid>
      <w:tr>
        <w:trPr>
          <w:trHeight w:val="46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Основні вимоги до проектування</w:t>
            </w:r>
            <w:r/>
          </w:p>
        </w:tc>
      </w:tr>
      <w:tr>
        <w:trPr>
          <w:trHeight w:val="28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46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 знаходження об’єкту 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pStyle w:val="884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Волинська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26</w:t>
            </w:r>
            <w:r/>
          </w:p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8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_Hlk131171222"/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Роботи з розроблення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проєктно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-кошторисної документації лінійної частини приєднання електричних мереж від найближчої точки в існуючих електричних мережах (трансформаторна підстанція) оператора системи розподілу до точок приєднання електроустановок ДУ ЦІТ МВС України </w:t>
            </w:r>
            <w:bookmarkEnd w:id="1"/>
            <w:r/>
            <w:r/>
          </w:p>
        </w:tc>
      </w:tr>
      <w:tr>
        <w:trPr>
          <w:trHeight w:val="38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Замовник на проектування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trHeight w:val="42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Проектувальник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 визначений на конкурсній основі</w:t>
            </w:r>
            <w:r/>
          </w:p>
        </w:tc>
      </w:tr>
      <w:tr>
        <w:trPr>
          <w:trHeight w:val="380"/>
        </w:trPr>
        <w:tc>
          <w:tcPr>
            <w:tcBorders>
              <w:bottom w:val="single" w:color="000000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351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Стадія проектування</w:t>
            </w:r>
            <w:r/>
          </w:p>
        </w:tc>
        <w:tc>
          <w:tcPr>
            <w:tcBorders>
              <w:bottom w:val="single" w:color="000000" w:sz="4" w:space="0"/>
            </w:tcBorders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Стадія «Робочий проект»</w:t>
            </w:r>
            <w:r/>
          </w:p>
        </w:tc>
      </w:tr>
      <w:tr>
        <w:trPr>
          <w:trHeight w:val="46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бюджету</w:t>
            </w:r>
            <w:r/>
          </w:p>
        </w:tc>
      </w:tr>
      <w:tr>
        <w:trPr>
          <w:trHeight w:val="46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 проектування</w:t>
            </w:r>
            <w:r/>
          </w:p>
        </w:tc>
        <w:tc>
          <w:tcPr>
            <w:tcW w:w="6129" w:type="dxa"/>
            <w:vAlign w:val="center"/>
            <w:textDirection w:val="lrTb"/>
            <w:noWrap w:val="false"/>
          </w:tcPr>
          <w:p>
            <w:pPr>
              <w:ind w:firstLine="57"/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Електропостачання</w:t>
            </w:r>
            <w:r/>
          </w:p>
        </w:tc>
      </w:tr>
      <w:tr>
        <w:trPr>
          <w:trHeight w:val="70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Вихідні дані для проектування</w:t>
            </w:r>
            <w:r/>
          </w:p>
        </w:tc>
        <w:tc>
          <w:tcPr>
            <w:tcW w:w="612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Інженерні вишукування, які надає замовник  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Архітектурні креслення, затверджені Замовником.</w:t>
            </w:r>
            <w:r/>
          </w:p>
        </w:tc>
      </w:tr>
      <w:tr>
        <w:trPr>
          <w:trHeight w:val="70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Загальні вимоги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Виконати проект згідно з вимогами ПУЕ, ДБН В.2.5-23-2010 та інших діючих в Україні нормативних актів. Основні рішення розділу прийняти згідно з інженерною концепцією замовника.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Забезпечити розробку проекту зовнішнього електропостачання, а саме:</w:t>
            </w:r>
            <w:r/>
          </w:p>
          <w:p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eastAsia="Calibri" w:cs="Times New Roman"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Живлення ВРП об’єкту виконати КЛ-0,4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від різних секцій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РУ-0,4 кВ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ТП3649</w:t>
            </w:r>
            <w:r/>
          </w:p>
          <w:p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eastAsia="Calibri" w:cs="Times New Roman"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Живлення ВРП об’єкту виконати КЛ-0,4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від різних секцій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РУ-0,4 кВ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ТП4082</w:t>
            </w:r>
            <w:r/>
          </w:p>
          <w:p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Запроектувати кабелі від ВРП до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 ДЕС. </w:t>
            </w:r>
            <w:r/>
          </w:p>
        </w:tc>
      </w:tr>
      <w:tr>
        <w:trPr>
          <w:trHeight w:val="42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електрообладнання, що має застосовуватись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розробці проекту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икористати сучасне не дефіцитне обладнання вітчизняного та імпортного виробництва від провідних фірм виробників (або фірм виробників, зазначених Замовником). Електрообладнання повинно відповідати вимогам усіх діючих норм та відповідати стандартам України. </w:t>
            </w:r>
            <w:r/>
          </w:p>
        </w:tc>
      </w:tr>
      <w:tr>
        <w:trPr>
          <w:trHeight w:val="856"/>
        </w:trPr>
        <w:tc>
          <w:tcPr>
            <w:tcBorders>
              <w:bottom w:val="single" w:color="auto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-провідникової продукції</w:t>
            </w:r>
            <w:r/>
          </w:p>
        </w:tc>
        <w:tc>
          <w:tcPr>
            <w:tcBorders>
              <w:bottom w:val="single" w:color="auto" w:sz="4" w:space="0"/>
            </w:tcBorders>
            <w:tcW w:w="612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Марку кабелів визначити з урахуванням корозійної агресивності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грунтів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 та погодити на початку проектування</w:t>
            </w:r>
            <w:r/>
          </w:p>
        </w:tc>
      </w:tr>
      <w:tr>
        <w:trPr>
          <w:trHeight w:val="631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Вимоги до обліку електроенергії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12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uk-UA"/>
              </w:rPr>
              <w:t xml:space="preserve">Не вимагається</w:t>
            </w:r>
            <w:r/>
          </w:p>
        </w:tc>
      </w:tr>
      <w:tr>
        <w:trPr>
          <w:trHeight w:val="60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з енергозбереження та енергоефективності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pStyle w:val="684"/>
              <w:jc w:val="both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ДБН</w:t>
            </w:r>
            <w:r/>
          </w:p>
        </w:tc>
      </w:tr>
      <w:tr>
        <w:trPr>
          <w:trHeight w:val="60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pStyle w:val="684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ДБН</w:t>
            </w:r>
            <w:r/>
          </w:p>
        </w:tc>
      </w:tr>
      <w:tr>
        <w:trPr>
          <w:trHeight w:val="48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Термін виконання проектних робіт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договору</w:t>
            </w:r>
            <w:r/>
          </w:p>
        </w:tc>
      </w:tr>
      <w:tr>
        <w:trPr>
          <w:trHeight w:val="480"/>
        </w:trPr>
        <w:tc>
          <w:tcPr>
            <w:tcW w:w="6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</w:t>
            </w:r>
            <w:r/>
          </w:p>
        </w:tc>
        <w:tc>
          <w:tcPr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Перелік технічної документації та порядок приймання робіт</w:t>
            </w:r>
            <w:r/>
          </w:p>
        </w:tc>
        <w:tc>
          <w:tcPr>
            <w:tcW w:w="6129" w:type="dxa"/>
            <w:textDirection w:val="lrTb"/>
            <w:noWrap w:val="false"/>
          </w:tcPr>
          <w:p>
            <w:pPr>
              <w:ind w:left="142" w:right="140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Проект виконати у відповідності з діючими нормами та правилами, оформити згідно з вимогами   ДБН А.2.2-3-2014 і передати замовнику у 4 примірниках та в електронному варіанті ( на CD) у форматі PDF.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/>
          </w:p>
          <w:p>
            <w:pPr>
              <w:ind w:left="142" w:right="140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Проект виконується на державній мові.</w:t>
            </w:r>
            <w:r/>
          </w:p>
          <w:p>
            <w:pPr>
              <w:ind w:right="140"/>
              <w:jc w:val="both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3. Передача технічної документації згідно акту здачі-приймання робіт та акту передачі документації.</w:t>
            </w:r>
            <w:r/>
          </w:p>
        </w:tc>
      </w:tr>
    </w:tbl>
    <w:p>
      <w:pPr>
        <w:spacing w:after="0" w:line="240" w:lineRule="auto"/>
        <w:tabs>
          <w:tab w:val="left" w:pos="394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62"/>
        <w:ind w:firstLine="709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</w:rPr>
        <w:t xml:space="preserve">Мінрегіону</w:t>
      </w:r>
      <w:r>
        <w:rPr>
          <w:color w:val="000000"/>
        </w:rPr>
        <w:t xml:space="preserve">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862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862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862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862"/>
        <w:jc w:val="both"/>
        <w:spacing w:after="0" w:line="240" w:lineRule="auto"/>
      </w:pPr>
      <w:r>
        <w:rPr>
          <w:color w:val="000000"/>
        </w:rPr>
        <w:t xml:space="preserve">- підсумкова відомість ресурсів;</w:t>
      </w:r>
      <w:r/>
    </w:p>
    <w:p>
      <w:pPr>
        <w:pStyle w:val="862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будівництва,</w:t>
      </w:r>
      <w:r/>
    </w:p>
    <w:p>
      <w:pPr>
        <w:pStyle w:val="862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розроблення </w:t>
      </w:r>
      <w:r>
        <w:rPr>
          <w:color w:val="000000"/>
        </w:rPr>
        <w:t xml:space="preserve">проєктно</w:t>
      </w:r>
      <w:r>
        <w:rPr>
          <w:color w:val="000000"/>
        </w:rPr>
        <w:t xml:space="preserve">-кошторисної документації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надати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файл з розрахунками для зручності Замовника при його перевірці.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Технічним завданням, яке зазначено в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надані послуги.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послуги якісно у кількості та в терміни, встановлені замовником, а також необхідно зазначити, що матеріали та вироби, від яких залежить якість наданих послуг, будуть відповідати вимогам нормативно-правових актів.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3 266 815,14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мільйони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шістдесят шість тисяч вісімсот п’ятнадцять гривень 14 копійок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ISOCPEUR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ISOCPEUR" w:hAnsi="ISOCPEUR" w:eastAsia="Calibri" w:cs="ISOCPEUR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2"/>
      <w:numFmt w:val="decimal"/>
      <w:isLgl/>
      <w:suff w:val="tab"/>
      <w:lvlText w:val="%1.%2."/>
      <w:lvlJc w:val="left"/>
      <w:pPr>
        <w:ind w:left="1188" w:hanging="468"/>
      </w:pPr>
      <w:rPr>
        <w:rFonts w:hint="default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14"/>
  </w:num>
  <w:num w:numId="10">
    <w:abstractNumId w:val="17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90"/>
    <w:link w:val="703"/>
    <w:uiPriority w:val="10"/>
    <w:rPr>
      <w:sz w:val="48"/>
      <w:szCs w:val="48"/>
    </w:rPr>
  </w:style>
  <w:style w:type="character" w:styleId="36">
    <w:name w:val="Subtitle Char"/>
    <w:basedOn w:val="690"/>
    <w:link w:val="705"/>
    <w:uiPriority w:val="11"/>
    <w:rPr>
      <w:sz w:val="24"/>
      <w:szCs w:val="24"/>
    </w:rPr>
  </w:style>
  <w:style w:type="character" w:styleId="38">
    <w:name w:val="Quote Char"/>
    <w:link w:val="707"/>
    <w:uiPriority w:val="29"/>
    <w:rPr>
      <w:i/>
    </w:rPr>
  </w:style>
  <w:style w:type="character" w:styleId="40">
    <w:name w:val="Intense Quote Char"/>
    <w:link w:val="709"/>
    <w:uiPriority w:val="30"/>
    <w:rPr>
      <w:i/>
    </w:rPr>
  </w:style>
  <w:style w:type="character" w:styleId="42">
    <w:name w:val="Header Char"/>
    <w:basedOn w:val="690"/>
    <w:link w:val="711"/>
    <w:uiPriority w:val="99"/>
  </w:style>
  <w:style w:type="character" w:styleId="175">
    <w:name w:val="Footnote Text Char"/>
    <w:link w:val="841"/>
    <w:uiPriority w:val="99"/>
    <w:rPr>
      <w:sz w:val="18"/>
    </w:rPr>
  </w:style>
  <w:style w:type="character" w:styleId="178">
    <w:name w:val="Endnote Text Char"/>
    <w:link w:val="844"/>
    <w:uiPriority w:val="99"/>
    <w:rPr>
      <w:sz w:val="20"/>
    </w:rPr>
  </w:style>
  <w:style w:type="paragraph" w:styleId="680" w:default="1">
    <w:name w:val="Normal"/>
    <w:qFormat/>
    <w:rPr>
      <w:lang w:val="uk-UA"/>
    </w:r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after="0" w:line="240" w:lineRule="auto"/>
    </w:pPr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Назва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і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Насичена цитата Знак"/>
    <w:link w:val="709"/>
    <w:uiPriority w:val="30"/>
    <w:rPr>
      <w:i/>
    </w:rPr>
  </w:style>
  <w:style w:type="paragraph" w:styleId="711">
    <w:name w:val="Header"/>
    <w:basedOn w:val="68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ій колонтитул Знак"/>
    <w:basedOn w:val="690"/>
    <w:link w:val="711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1">
    <w:name w:val="footnote text"/>
    <w:basedOn w:val="680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виноски Знак"/>
    <w:link w:val="841"/>
    <w:uiPriority w:val="99"/>
    <w:rPr>
      <w:sz w:val="18"/>
    </w:rPr>
  </w:style>
  <w:style w:type="character" w:styleId="843">
    <w:name w:val="footnote reference"/>
    <w:basedOn w:val="690"/>
    <w:uiPriority w:val="99"/>
    <w:unhideWhenUsed/>
    <w:rPr>
      <w:vertAlign w:val="superscript"/>
    </w:rPr>
  </w:style>
  <w:style w:type="paragraph" w:styleId="844">
    <w:name w:val="endnote text"/>
    <w:basedOn w:val="680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інцевої виноски Знак"/>
    <w:link w:val="844"/>
    <w:uiPriority w:val="99"/>
    <w:rPr>
      <w:sz w:val="20"/>
    </w:rPr>
  </w:style>
  <w:style w:type="character" w:styleId="846">
    <w:name w:val="endnote reference"/>
    <w:basedOn w:val="690"/>
    <w:uiPriority w:val="99"/>
    <w:semiHidden/>
    <w:unhideWhenUsed/>
    <w:rPr>
      <w:vertAlign w:val="superscript"/>
    </w:rPr>
  </w:style>
  <w:style w:type="paragraph" w:styleId="847">
    <w:name w:val="toc 1"/>
    <w:basedOn w:val="680"/>
    <w:next w:val="680"/>
    <w:uiPriority w:val="39"/>
    <w:unhideWhenUsed/>
    <w:pPr>
      <w:spacing w:after="57"/>
    </w:pPr>
  </w:style>
  <w:style w:type="paragraph" w:styleId="848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9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0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1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2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3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4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5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0"/>
    <w:next w:val="680"/>
    <w:uiPriority w:val="99"/>
    <w:unhideWhenUsed/>
    <w:pPr>
      <w:spacing w:after="0"/>
    </w:pPr>
  </w:style>
  <w:style w:type="paragraph" w:styleId="858">
    <w:name w:val="List Paragraph"/>
    <w:basedOn w:val="680"/>
    <w:link w:val="8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859" w:customStyle="1">
    <w:name w:val="Абзац списку Знак"/>
    <w:link w:val="858"/>
    <w:uiPriority w:val="34"/>
    <w:rPr>
      <w:rFonts w:ascii="Calibri" w:hAnsi="Calibri" w:eastAsia="Calibri" w:cs="Calibri"/>
      <w:lang w:eastAsia="zh-CN"/>
    </w:rPr>
  </w:style>
  <w:style w:type="table" w:styleId="860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1" w:customStyle="1">
    <w:name w:val="Сетка таблицы2"/>
    <w:basedOn w:val="691"/>
    <w:next w:val="86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Normal (Web)"/>
    <w:basedOn w:val="680"/>
    <w:unhideWhenUsed/>
    <w:rPr>
      <w:rFonts w:ascii="Times New Roman" w:hAnsi="Times New Roman" w:cs="Times New Roman"/>
      <w:sz w:val="24"/>
      <w:szCs w:val="24"/>
    </w:rPr>
  </w:style>
  <w:style w:type="table" w:styleId="863" w:customStyle="1">
    <w:name w:val="Сетка таблицы1"/>
    <w:basedOn w:val="691"/>
    <w:next w:val="86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Footer"/>
    <w:basedOn w:val="680"/>
    <w:link w:val="86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865" w:customStyle="1">
    <w:name w:val="Нижній колонтитул Знак"/>
    <w:basedOn w:val="690"/>
    <w:link w:val="864"/>
    <w:uiPriority w:val="99"/>
    <w:rPr>
      <w:rFonts w:ascii="Calibri" w:hAnsi="Calibri" w:eastAsia="Calibri" w:cs="Calibri"/>
      <w:lang w:eastAsia="zh-CN"/>
    </w:rPr>
  </w:style>
  <w:style w:type="paragraph" w:styleId="86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867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868" w:customStyle="1">
    <w:name w:val="xfm_93972720"/>
    <w:basedOn w:val="690"/>
  </w:style>
  <w:style w:type="character" w:styleId="869">
    <w:name w:val="FollowedHyperlink"/>
    <w:basedOn w:val="690"/>
    <w:uiPriority w:val="99"/>
    <w:semiHidden/>
    <w:unhideWhenUsed/>
    <w:rPr>
      <w:color w:val="954f72" w:themeColor="followedHyperlink"/>
      <w:u w:val="single"/>
    </w:rPr>
  </w:style>
  <w:style w:type="paragraph" w:styleId="870">
    <w:name w:val="Body Text Indent"/>
    <w:basedOn w:val="680"/>
    <w:link w:val="87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871" w:customStyle="1">
    <w:name w:val="Основний текст з відступом Знак"/>
    <w:basedOn w:val="690"/>
    <w:link w:val="87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2">
    <w:name w:val="Body Text"/>
    <w:basedOn w:val="680"/>
    <w:link w:val="873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873" w:customStyle="1">
    <w:name w:val="Основний текст Знак"/>
    <w:basedOn w:val="690"/>
    <w:link w:val="87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875">
    <w:name w:val="annotation text"/>
    <w:basedOn w:val="680"/>
    <w:link w:val="876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876" w:customStyle="1">
    <w:name w:val="Текст примітки Знак"/>
    <w:basedOn w:val="690"/>
    <w:link w:val="87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ітки Знак"/>
    <w:basedOn w:val="876"/>
    <w:link w:val="87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9">
    <w:name w:val="Balloon Text"/>
    <w:basedOn w:val="680"/>
    <w:link w:val="880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880" w:customStyle="1">
    <w:name w:val="Текст у виносці Знак"/>
    <w:basedOn w:val="690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1" w:customStyle="1">
    <w:name w:val="Неразрешенное упоминание1"/>
    <w:basedOn w:val="690"/>
    <w:uiPriority w:val="99"/>
    <w:semiHidden/>
    <w:unhideWhenUsed/>
    <w:rPr>
      <w:color w:val="605e5c"/>
      <w:shd w:val="clear" w:color="auto" w:fill="e1dfdd"/>
    </w:rPr>
  </w:style>
  <w:style w:type="paragraph" w:styleId="882" w:customStyle="1">
    <w:name w:val="tbl-txt"/>
    <w:basedOn w:val="6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83" w:customStyle="1">
    <w:name w:val="Основной текст_"/>
    <w:basedOn w:val="690"/>
    <w:link w:val="884"/>
    <w:rPr>
      <w:shd w:val="clear" w:color="auto" w:fill="ffffff"/>
    </w:rPr>
  </w:style>
  <w:style w:type="paragraph" w:styleId="884" w:customStyle="1">
    <w:name w:val="Основной текст1"/>
    <w:basedOn w:val="680"/>
    <w:link w:val="883"/>
    <w:pPr>
      <w:spacing w:after="0" w:line="266" w:lineRule="auto"/>
      <w:shd w:val="clear" w:color="auto" w:fill="ffffff"/>
      <w:widowControl w:val="off"/>
    </w:pPr>
    <w:rPr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47</cp:revision>
  <dcterms:created xsi:type="dcterms:W3CDTF">2022-11-01T12:47:00Z</dcterms:created>
  <dcterms:modified xsi:type="dcterms:W3CDTF">2023-04-03T12:46:22Z</dcterms:modified>
</cp:coreProperties>
</file>