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hyperlink r:id="rId11" w:tooltip="https://www.dzo.com.ua/tenders/17227183" w:history="1">
        <w:r>
          <w:rPr>
            <w:rStyle w:val="737"/>
            <w:b w:val="0"/>
            <w:bCs w:val="0"/>
            <w:color w:val="auto"/>
            <w:sz w:val="24"/>
            <w:szCs w:val="24"/>
            <w:u w:val="none"/>
          </w:rPr>
          <w:t xml:space="preserve"> </w:t>
        </w:r>
        <w:r>
          <w:rPr>
            <w:rStyle w:val="737"/>
            <w:b w:val="0"/>
            <w:bCs w:val="0"/>
            <w:color w:val="auto"/>
            <w:sz w:val="24"/>
            <w:szCs w:val="24"/>
            <w:u w:val="none"/>
          </w:rPr>
          <w:t xml:space="preserve">Закупівля килимового покриття за ДК 021:2015: </w:t>
        </w:r>
        <w:r>
          <w:rPr>
            <w:rStyle w:val="737"/>
            <w:b w:val="0"/>
            <w:bCs w:val="0"/>
            <w:color w:val="auto"/>
            <w:sz w:val="24"/>
            <w:szCs w:val="24"/>
            <w:u w:val="none"/>
            <w:shd w:val="clear" w:color="auto" w:fill="ffffff"/>
          </w:rPr>
          <w:t xml:space="preserve">39530000-6 </w:t>
        </w:r>
      </w:hyperlink>
      <w:r>
        <w:rPr>
          <w:b w:val="0"/>
          <w:bCs w:val="0"/>
          <w:sz w:val="24"/>
          <w:szCs w:val="24"/>
        </w:rPr>
        <w:t xml:space="preserve"> Килимові покриття, килимки та килими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5530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hyperlink r:id="rId12" w:tooltip="https://www.dzo.com.ua/tenders/17227183" w:history="1">
        <w:r>
          <w:rPr>
            <w:rStyle w:val="737"/>
            <w:rFonts w:ascii="Times New Roman" w:hAnsi="Times New Roman" w:cs="Times New Roman"/>
            <w:color w:val="auto"/>
            <w:sz w:val="24"/>
            <w:szCs w:val="24"/>
            <w:u w:val="none"/>
          </w:rPr>
          <w:t xml:space="preserve"> </w:t>
        </w:r>
        <w:r>
          <w:rPr>
            <w:rStyle w:val="737"/>
            <w:rFonts w:ascii="Times New Roman" w:hAnsi="Times New Roman" w:cs="Times New Roman"/>
            <w:color w:val="auto"/>
            <w:sz w:val="24"/>
            <w:szCs w:val="24"/>
            <w:u w:val="none"/>
          </w:rPr>
          <w:t xml:space="preserve">Закупівля килимового покриття за ДК 021:2015: </w:t>
        </w:r>
        <w:r>
          <w:rPr>
            <w:rStyle w:val="737"/>
            <w:rFonts w:ascii="Times New Roman" w:hAnsi="Times New Roman" w:cs="Times New Roman"/>
            <w:color w:val="auto"/>
            <w:sz w:val="24"/>
            <w:szCs w:val="24"/>
            <w:u w:val="none"/>
            <w:shd w:val="clear" w:color="auto" w:fill="ffffff"/>
          </w:rPr>
          <w:t xml:space="preserve">39530000-6 </w:t>
        </w:r>
      </w:hyperlink>
      <w:r>
        <w:rPr>
          <w:rFonts w:ascii="Times New Roman" w:hAnsi="Times New Roman" w:cs="Times New Roman"/>
          <w:sz w:val="24"/>
          <w:szCs w:val="24"/>
        </w:rPr>
        <w:t xml:space="preserve"> Килимові покриття, килимки та килими</w:t>
      </w:r>
      <w:r>
        <w:rPr>
          <w:rFonts w:ascii="Times New Roman" w:hAnsi="Times New Roman" w:cs="Times New Roman"/>
          <w:bCs/>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0"/>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2"/>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2"/>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2"/>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2"/>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2"/>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2"/>
              <w:rPr>
                <w:b/>
                <w:bCs/>
                <w:lang w:val="ru-RU"/>
              </w:rPr>
            </w:pPr>
            <w:r>
              <w:rPr>
                <w:b/>
                <w:bCs/>
                <w:lang w:val="ru-RU"/>
              </w:rPr>
              <w:t xml:space="preserve">Килимове</w:t>
            </w:r>
            <w:r>
              <w:rPr>
                <w:b/>
                <w:bCs/>
                <w:lang w:val="ru-RU"/>
              </w:rPr>
              <w:t xml:space="preserve"> </w:t>
            </w:r>
            <w:r>
              <w:rPr>
                <w:b/>
                <w:bCs/>
                <w:lang w:val="ru-RU"/>
              </w:rPr>
              <w:t xml:space="preserve">покриття</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2"/>
              <w:jc w:val="center"/>
              <w:rPr>
                <w:lang w:val="ru-RU"/>
              </w:rPr>
            </w:pPr>
            <w:r>
              <w:rPr>
                <w:b/>
                <w:bCs/>
                <w:lang w:val="ru-RU"/>
              </w:rPr>
              <w:t xml:space="preserve">м</w:t>
            </w:r>
            <w:r>
              <w:rPr>
                <w:b/>
                <w:bCs/>
                <w:vertAlign w:val="superscript"/>
                <w:lang w:val="ru-RU"/>
              </w:rPr>
              <w:t xml:space="preserve">2</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2"/>
              <w:jc w:val="center"/>
              <w:rPr>
                <w:lang w:val="ru-RU"/>
              </w:rPr>
            </w:pPr>
            <w:r>
              <w:rPr>
                <w:b/>
                <w:bCs/>
                <w:lang w:val="ru-RU"/>
              </w:rPr>
              <w:t xml:space="preserve">270</w:t>
            </w:r>
            <w:r/>
          </w:p>
        </w:tc>
      </w:tr>
    </w:tbl>
    <w:p>
      <w:pPr>
        <w:pStyle w:val="732"/>
        <w:jc w:val="both"/>
        <w:spacing w:after="0" w:line="240" w:lineRule="auto"/>
        <w:rPr>
          <w:rFonts w:eastAsia="Times New Roman"/>
          <w:b/>
          <w:bCs/>
          <w:i/>
          <w:iCs/>
          <w:lang w:eastAsia="ru-RU"/>
        </w:rPr>
      </w:pPr>
      <w:r>
        <w:rPr>
          <w:rFonts w:eastAsia="Times New Roman"/>
          <w:b/>
          <w:bCs/>
          <w:i/>
          <w:iCs/>
          <w:lang w:eastAsia="ru-RU"/>
        </w:rPr>
      </w:r>
      <w:r/>
    </w:p>
    <w:p>
      <w:pPr>
        <w:pStyle w:val="732"/>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val="ru-RU" w:eastAsia="ar-SA"/>
        </w:rPr>
      </w:pPr>
      <w:r>
        <w:rPr>
          <w:rFonts w:ascii="Times New Roman" w:hAnsi="Times New Roman" w:cs="Times New Roman"/>
          <w:b/>
          <w:bCs/>
          <w:sz w:val="24"/>
          <w:szCs w:val="24"/>
          <w:lang w:val="ru-RU"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28"/>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28"/>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30"/>
        <w:tblW w:w="9926" w:type="dxa"/>
        <w:tblLook w:val="04A0" w:firstRow="1" w:lastRow="0" w:firstColumn="1" w:lastColumn="0" w:noHBand="0" w:noVBand="1"/>
      </w:tblPr>
      <w:tblGrid>
        <w:gridCol w:w="456"/>
        <w:gridCol w:w="6856"/>
        <w:gridCol w:w="1208"/>
        <w:gridCol w:w="1406"/>
      </w:tblGrid>
      <w:tr>
        <w:trPr/>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both"/>
              <w:rPr>
                <w:rFonts w:ascii="Times New Roman" w:hAnsi="Times New Roman" w:cs="Times New Roman"/>
                <w:b/>
                <w:bCs/>
                <w:sz w:val="24"/>
                <w:szCs w:val="24"/>
                <w:lang w:val="ru-RU"/>
              </w:rPr>
            </w:pPr>
            <w:r/>
            <w:bookmarkStart w:id="0" w:name="_Hlk161997492"/>
            <w:r/>
            <w:r/>
          </w:p>
        </w:tc>
        <w:tc>
          <w:tcPr>
            <w:tcBorders>
              <w:top w:val="single" w:color="auto" w:sz="4" w:space="0"/>
              <w:left w:val="single" w:color="auto" w:sz="4" w:space="0"/>
              <w:bottom w:val="single" w:color="auto" w:sz="4" w:space="0"/>
              <w:right w:val="single" w:color="auto" w:sz="4" w:space="0"/>
            </w:tcBorders>
            <w:tcW w:w="6856"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1208"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1406"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6"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tcBorders>
              <w:top w:val="single" w:color="auto" w:sz="4" w:space="0"/>
              <w:left w:val="single" w:color="auto" w:sz="4" w:space="0"/>
              <w:bottom w:val="single" w:color="auto" w:sz="4" w:space="0"/>
              <w:right w:val="single" w:color="auto" w:sz="4" w:space="0"/>
            </w:tcBorders>
            <w:tcW w:w="6856"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Килимове покриття</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м</w:t>
            </w:r>
            <w:r>
              <w:rPr>
                <w:rFonts w:ascii="Times New Roman" w:hAnsi="Times New Roman" w:cs="Times New Roman"/>
                <w:b/>
                <w:bCs/>
                <w:sz w:val="24"/>
                <w:szCs w:val="24"/>
                <w:vertAlign w:val="superscript"/>
              </w:rPr>
              <w:t xml:space="preserve">2</w:t>
            </w: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270</w:t>
            </w:r>
            <w:r/>
          </w:p>
        </w:tc>
      </w:tr>
      <w:tr>
        <w:trPr/>
        <w:tc>
          <w:tcPr>
            <w:gridSpan w:val="4"/>
            <w:tcBorders>
              <w:top w:val="single" w:color="auto" w:sz="4" w:space="0"/>
              <w:left w:val="single" w:color="auto" w:sz="4" w:space="0"/>
              <w:bottom w:val="single" w:color="auto" w:sz="4" w:space="0"/>
              <w:right w:val="single" w:color="auto" w:sz="4" w:space="0"/>
            </w:tcBorders>
            <w:tcW w:w="9926" w:type="dxa"/>
            <w:textDirection w:val="lrTb"/>
            <w:noWrap w:val="false"/>
          </w:tcPr>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Ширина </w:t>
            </w:r>
            <w:r>
              <w:rPr>
                <w:rFonts w:ascii="Times New Roman" w:hAnsi="Times New Roman" w:cs="Times New Roman"/>
                <w:sz w:val="24"/>
                <w:szCs w:val="24"/>
              </w:rPr>
              <w:t xml:space="preserve">доріжки</w:t>
            </w:r>
            <w:r>
              <w:rPr>
                <w:rFonts w:ascii="Times New Roman" w:hAnsi="Times New Roman" w:cs="Times New Roman"/>
                <w:sz w:val="24"/>
                <w:szCs w:val="24"/>
              </w:rPr>
              <w:t xml:space="preserve">, см – 150</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Країна</w:t>
            </w:r>
            <w:r>
              <w:rPr>
                <w:rFonts w:ascii="Times New Roman" w:hAnsi="Times New Roman" w:cs="Times New Roman"/>
                <w:sz w:val="24"/>
                <w:szCs w:val="24"/>
              </w:rPr>
              <w:t xml:space="preserve"> </w:t>
            </w:r>
            <w:r>
              <w:rPr>
                <w:rFonts w:ascii="Times New Roman" w:hAnsi="Times New Roman" w:cs="Times New Roman"/>
                <w:sz w:val="24"/>
                <w:szCs w:val="24"/>
              </w:rPr>
              <w:t xml:space="preserve">виробник</w:t>
            </w:r>
            <w:r>
              <w:rPr>
                <w:rFonts w:ascii="Times New Roman" w:hAnsi="Times New Roman" w:cs="Times New Roman"/>
                <w:sz w:val="24"/>
                <w:szCs w:val="24"/>
              </w:rPr>
              <w:t xml:space="preserve"> – </w:t>
            </w:r>
            <w:r>
              <w:rPr>
                <w:rFonts w:ascii="Times New Roman" w:hAnsi="Times New Roman" w:cs="Times New Roman"/>
                <w:sz w:val="24"/>
                <w:szCs w:val="24"/>
              </w:rPr>
              <w:t xml:space="preserve">Україна</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Колекція</w:t>
            </w:r>
            <w:r>
              <w:rPr>
                <w:rFonts w:ascii="Times New Roman" w:hAnsi="Times New Roman" w:cs="Times New Roman"/>
                <w:sz w:val="24"/>
                <w:szCs w:val="24"/>
              </w:rPr>
              <w:t xml:space="preserve"> – </w:t>
            </w:r>
            <w:r>
              <w:rPr>
                <w:rFonts w:ascii="Times New Roman" w:hAnsi="Times New Roman" w:cs="Times New Roman"/>
                <w:sz w:val="24"/>
                <w:szCs w:val="24"/>
                <w:lang w:val="en-US"/>
              </w:rPr>
              <w:t xml:space="preserve">Flex</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Дизайн – 1944</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Основний</w:t>
            </w:r>
            <w:r>
              <w:rPr>
                <w:rFonts w:ascii="Times New Roman" w:hAnsi="Times New Roman" w:cs="Times New Roman"/>
                <w:sz w:val="24"/>
                <w:szCs w:val="24"/>
              </w:rPr>
              <w:t xml:space="preserve"> </w:t>
            </w:r>
            <w:r>
              <w:rPr>
                <w:rFonts w:ascii="Times New Roman" w:hAnsi="Times New Roman" w:cs="Times New Roman"/>
                <w:sz w:val="24"/>
                <w:szCs w:val="24"/>
              </w:rPr>
              <w:t xml:space="preserve">колір</w:t>
            </w:r>
            <w:r>
              <w:rPr>
                <w:rFonts w:ascii="Times New Roman" w:hAnsi="Times New Roman" w:cs="Times New Roman"/>
                <w:sz w:val="24"/>
                <w:szCs w:val="24"/>
              </w:rPr>
              <w:t xml:space="preserve"> – </w:t>
            </w:r>
            <w:r>
              <w:rPr>
                <w:rFonts w:ascii="Times New Roman" w:hAnsi="Times New Roman" w:cs="Times New Roman"/>
                <w:sz w:val="24"/>
                <w:szCs w:val="24"/>
              </w:rPr>
              <w:t xml:space="preserve">бежевий</w:t>
            </w:r>
            <w:r>
              <w:rPr>
                <w:rFonts w:ascii="Times New Roman" w:hAnsi="Times New Roman" w:cs="Times New Roman"/>
                <w:sz w:val="24"/>
                <w:szCs w:val="24"/>
              </w:rPr>
              <w:t xml:space="preserve">, бежево-</w:t>
            </w:r>
            <w:r>
              <w:rPr>
                <w:rFonts w:ascii="Times New Roman" w:hAnsi="Times New Roman" w:cs="Times New Roman"/>
                <w:sz w:val="24"/>
                <w:szCs w:val="24"/>
              </w:rPr>
              <w:t xml:space="preserve">коричневий</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Колір</w:t>
            </w:r>
            <w:r>
              <w:rPr>
                <w:rFonts w:ascii="Times New Roman" w:hAnsi="Times New Roman" w:cs="Times New Roman"/>
                <w:sz w:val="24"/>
                <w:szCs w:val="24"/>
              </w:rPr>
              <w:t xml:space="preserve"> -19</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 xml:space="preserve">виробу</w:t>
            </w:r>
            <w:r>
              <w:rPr>
                <w:rFonts w:ascii="Times New Roman" w:hAnsi="Times New Roman" w:cs="Times New Roman"/>
                <w:sz w:val="24"/>
                <w:szCs w:val="24"/>
              </w:rPr>
              <w:t xml:space="preserve"> – </w:t>
            </w:r>
            <w:r>
              <w:rPr>
                <w:rFonts w:ascii="Times New Roman" w:hAnsi="Times New Roman" w:cs="Times New Roman"/>
                <w:sz w:val="24"/>
                <w:szCs w:val="24"/>
              </w:rPr>
              <w:t xml:space="preserve">прямокутний</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w:t>
            </w:r>
            <w:r>
              <w:rPr>
                <w:rFonts w:ascii="Times New Roman" w:hAnsi="Times New Roman" w:cs="Times New Roman"/>
                <w:sz w:val="24"/>
                <w:szCs w:val="24"/>
              </w:rPr>
              <w:t xml:space="preserve"> ворсу – </w:t>
            </w:r>
            <w:r>
              <w:rPr>
                <w:rFonts w:ascii="Times New Roman" w:hAnsi="Times New Roman" w:cs="Times New Roman"/>
                <w:sz w:val="24"/>
                <w:szCs w:val="24"/>
              </w:rPr>
              <w:t xml:space="preserve">безворсовий</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Основа – </w:t>
            </w:r>
            <w:r>
              <w:rPr>
                <w:rFonts w:ascii="Times New Roman" w:hAnsi="Times New Roman" w:cs="Times New Roman"/>
                <w:sz w:val="24"/>
                <w:szCs w:val="24"/>
                <w:lang w:val="en-US"/>
              </w:rPr>
              <w:t xml:space="preserve">BCF</w:t>
            </w:r>
            <w:r/>
          </w:p>
          <w:p>
            <w:pPr>
              <w:pStyle w:val="728"/>
              <w:numPr>
                <w:ilvl w:val="0"/>
                <w:numId w:val="39"/>
              </w:numPr>
              <w:ind w:left="0" w:firstLine="30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Склад – </w:t>
            </w:r>
            <w:r>
              <w:rPr>
                <w:rFonts w:ascii="Times New Roman" w:hAnsi="Times New Roman" w:cs="Times New Roman"/>
                <w:sz w:val="24"/>
                <w:szCs w:val="24"/>
              </w:rPr>
              <w:t xml:space="preserve">поліпропілен</w:t>
            </w:r>
            <w:r>
              <w:rPr>
                <w:rFonts w:ascii="Times New Roman" w:hAnsi="Times New Roman" w:cs="Times New Roman"/>
                <w:sz w:val="24"/>
                <w:szCs w:val="24"/>
              </w:rPr>
              <w:t xml:space="preserve">, Джут, Латекс</w:t>
            </w:r>
            <w:r/>
          </w:p>
        </w:tc>
      </w:tr>
      <w:tr>
        <w:trPr/>
        <w:tc>
          <w:tcPr>
            <w:gridSpan w:val="4"/>
            <w:tcBorders>
              <w:top w:val="single" w:color="auto" w:sz="4" w:space="0"/>
              <w:left w:val="single" w:color="auto" w:sz="4" w:space="0"/>
              <w:bottom w:val="single" w:color="auto" w:sz="4" w:space="0"/>
              <w:right w:val="single" w:color="auto" w:sz="4" w:space="0"/>
            </w:tcBorders>
            <w:tcW w:w="9926" w:type="dxa"/>
            <w:textDirection w:val="lrTb"/>
            <w:noWrap w:val="false"/>
          </w:tcPr>
          <w:p>
            <w:pPr>
              <w:jc w:val="both"/>
              <w:rPr>
                <w:rFonts w:ascii="Times New Roman" w:hAnsi="Times New Roman" w:cs="Times New Roman"/>
                <w:b/>
                <w:bCs/>
                <w:sz w:val="24"/>
                <w:szCs w:val="24"/>
              </w:rPr>
            </w:pPr>
            <w:r>
              <w:rPr>
                <w:rFonts w:ascii="Times New Roman" w:hAnsi="Times New Roman" w:cs="Times New Roman"/>
                <w:b/>
                <w:bCs/>
                <w:sz w:val="24"/>
                <w:szCs w:val="24"/>
              </w:rPr>
              <w:t xml:space="preserve">ЕСКІЗ:</w:t>
            </w:r>
            <w:r/>
          </w:p>
          <w:p>
            <w:pPr>
              <w:jc w:val="both"/>
              <w:rPr>
                <w:rFonts w:ascii="Times New Roman" w:hAnsi="Times New Roman" w:cs="Times New Roman"/>
                <w:b/>
                <w:bCs/>
                <w:sz w:val="24"/>
                <w:szCs w:val="24"/>
              </w:rPr>
            </w:pPr>
            <w:r>
              <w:rPr>
                <w:rFonts w:ascii="Times New Roman" w:hAnsi="Times New Roman" w:cs="Times New Roman"/>
                <w:b/>
                <w:sz w:val="24"/>
                <w:szCs w:val="24"/>
                <w:lang w:eastAsia="uk-UA"/>
              </w:rPr>
              <mc:AlternateContent>
                <mc:Choice Requires="wpg">
                  <w:drawing>
                    <wp:inline xmlns:wp="http://schemas.openxmlformats.org/drawingml/2006/wordprocessingDrawing" distT="0" distB="0" distL="0" distR="0">
                      <wp:extent cx="6115050" cy="202882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r/>
                            </pic:nvPicPr>
                            <pic:blipFill>
                              <a:blip r:embed="rId13"/>
                              <a:stretch/>
                            </pic:blipFill>
                            <pic:spPr bwMode="auto">
                              <a:xfrm>
                                <a:off x="0" y="0"/>
                                <a:ext cx="6115050" cy="2028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1.5pt;height:159.8pt;mso-wrap-distance-left:0.0pt;mso-wrap-distance-top:0.0pt;mso-wrap-distance-right:0.0pt;mso-wrap-distance-bottom:0.0pt;" stroked="f">
                      <v:path textboxrect="0,0,0,0"/>
                      <v:imagedata r:id="rId13" o:title=""/>
                    </v:shape>
                  </w:pict>
                </mc:Fallback>
              </mc:AlternateContent>
            </w:r>
            <w:r/>
          </w:p>
          <w:p>
            <w:pPr>
              <w:jc w:val="both"/>
              <w:rPr>
                <w:rFonts w:ascii="Times New Roman" w:hAnsi="Times New Roman" w:cs="Times New Roman"/>
                <w:b/>
                <w:bCs/>
                <w:sz w:val="24"/>
                <w:szCs w:val="24"/>
              </w:rPr>
            </w:pPr>
            <w:r>
              <w:rPr>
                <w:rFonts w:ascii="Times New Roman" w:hAnsi="Times New Roman" w:cs="Times New Roman"/>
                <w:b/>
                <w:sz w:val="24"/>
                <w:szCs w:val="24"/>
                <w:lang w:eastAsia="uk-UA"/>
              </w:rPr>
              <mc:AlternateContent>
                <mc:Choice Requires="wpg">
                  <w:drawing>
                    <wp:inline xmlns:wp="http://schemas.openxmlformats.org/drawingml/2006/wordprocessingDrawing" distT="0" distB="0" distL="0" distR="0">
                      <wp:extent cx="6119495" cy="37191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4"/>
                              <a:stretch/>
                            </pic:blipFill>
                            <pic:spPr bwMode="auto">
                              <a:xfrm>
                                <a:off x="0" y="0"/>
                                <a:ext cx="6119495" cy="37191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81.8pt;height:292.8pt;mso-wrap-distance-left:0.0pt;mso-wrap-distance-top:0.0pt;mso-wrap-distance-right:0.0pt;mso-wrap-distance-bottom:0.0pt;" stroked="f">
                      <v:path textboxrect="0,0,0,0"/>
                      <v:imagedata r:id="rId14" o:title=""/>
                    </v:shape>
                  </w:pict>
                </mc:Fallback>
              </mc:AlternateContent>
            </w:r>
            <w:r>
              <w:rPr>
                <w:rFonts w:ascii="Times New Roman" w:hAnsi="Times New Roman" w:cs="Times New Roman"/>
                <w:b/>
                <w:bCs/>
                <w:sz w:val="24"/>
                <w:szCs w:val="24"/>
              </w:rPr>
              <w:t xml:space="preserve"> </w:t>
            </w:r>
            <w:bookmarkEnd w:id="0"/>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Cs/>
          <w:color w:val="000000" w:themeColor="text1"/>
          <w:sz w:val="24"/>
          <w:szCs w:val="24"/>
          <w:lang w:val="ru-RU" w:eastAsia="ru-RU"/>
        </w:rPr>
      </w:pPr>
      <w:r>
        <w:rPr>
          <w:rFonts w:ascii="Times New Roman" w:hAnsi="Times New Roman" w:eastAsia="Times New Roman" w:cs="Times New Roman"/>
          <w:bCs/>
          <w:color w:val="000000" w:themeColor="text1"/>
          <w:sz w:val="24"/>
          <w:szCs w:val="24"/>
          <w:lang w:val="ru-RU" w:eastAsia="ru-RU"/>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135 325</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35</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тридцять п’ять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тисяч триста двадцять п’ять </w:t>
      </w:r>
      <w:r>
        <w:rPr>
          <w:rFonts w:ascii="Times New Roman" w:hAnsi="Times New Roman" w:eastAsia="Times New Roman" w:cs="Times New Roman"/>
          <w:sz w:val="24"/>
          <w:szCs w:val="24"/>
          <w:lang w:eastAsia="ru-RU"/>
        </w:rPr>
        <w:t xml:space="preserve">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35</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bullet"/>
      <w:isLgl w:val="false"/>
      <w:suff w:val="tab"/>
      <w:lvlText w:val="-"/>
      <w:lvlJc w:val="left"/>
      <w:pPr>
        <w:ind w:left="1065" w:hanging="360"/>
      </w:pPr>
      <w:rPr>
        <w:rFonts w:hint="default" w:ascii="Times New Roman" w:hAnsi="Times New Roman" w:eastAsia="Calibri" w:cs="Times New Roman"/>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20"/>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9"/>
  </w:num>
  <w:num w:numId="31">
    <w:abstractNumId w:val="3"/>
  </w:num>
  <w:num w:numId="32">
    <w:abstractNumId w:val="21"/>
  </w:num>
  <w:num w:numId="33">
    <w:abstractNumId w:val="18"/>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5"/>
    <w:link w:val="12"/>
    <w:uiPriority w:val="9"/>
    <w:rPr>
      <w:rFonts w:ascii="Arial" w:hAnsi="Arial" w:eastAsia="Arial" w:cs="Arial"/>
      <w:sz w:val="40"/>
      <w:szCs w:val="40"/>
    </w:rPr>
  </w:style>
  <w:style w:type="character" w:styleId="15">
    <w:name w:val="Heading 2 Char"/>
    <w:basedOn w:val="725"/>
    <w:link w:val="722"/>
    <w:uiPriority w:val="9"/>
    <w:rPr>
      <w:rFonts w:ascii="Arial" w:hAnsi="Arial" w:eastAsia="Arial" w:cs="Arial"/>
      <w:sz w:val="34"/>
    </w:rPr>
  </w:style>
  <w:style w:type="character" w:styleId="17">
    <w:name w:val="Heading 3 Char"/>
    <w:basedOn w:val="725"/>
    <w:link w:val="723"/>
    <w:uiPriority w:val="9"/>
    <w:rPr>
      <w:rFonts w:ascii="Arial" w:hAnsi="Arial" w:eastAsia="Arial" w:cs="Arial"/>
      <w:sz w:val="30"/>
      <w:szCs w:val="30"/>
    </w:rPr>
  </w:style>
  <w:style w:type="character" w:styleId="19">
    <w:name w:val="Heading 4 Char"/>
    <w:basedOn w:val="725"/>
    <w:link w:val="724"/>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5"/>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5"/>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5"/>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5"/>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5"/>
    <w:link w:val="28"/>
    <w:uiPriority w:val="9"/>
    <w:rPr>
      <w:rFonts w:ascii="Arial" w:hAnsi="Arial" w:eastAsia="Arial" w:cs="Arial"/>
      <w:i/>
      <w:iCs/>
      <w:sz w:val="21"/>
      <w:szCs w:val="21"/>
    </w:r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725"/>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725"/>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1"/>
    <w:link w:val="42"/>
    <w:uiPriority w:val="99"/>
    <w:unhideWhenUsed/>
    <w:pPr>
      <w:spacing w:after="0" w:line="240" w:lineRule="auto"/>
      <w:tabs>
        <w:tab w:val="center" w:pos="7143" w:leader="none"/>
        <w:tab w:val="right" w:pos="14287" w:leader="none"/>
      </w:tabs>
    </w:pPr>
  </w:style>
  <w:style w:type="character" w:styleId="42">
    <w:name w:val="Header Char"/>
    <w:basedOn w:val="725"/>
    <w:link w:val="41"/>
    <w:uiPriority w:val="99"/>
  </w:style>
  <w:style w:type="character" w:styleId="44">
    <w:name w:val="Footer Char"/>
    <w:basedOn w:val="725"/>
    <w:link w:val="734"/>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734"/>
    <w:uiPriority w:val="99"/>
  </w:style>
  <w:style w:type="table" w:styleId="48">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5"/>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5"/>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1" w:default="1">
    <w:name w:val="Normal"/>
    <w:qFormat/>
    <w:rPr>
      <w:lang w:val="uk-UA"/>
    </w:rPr>
  </w:style>
  <w:style w:type="paragraph" w:styleId="722">
    <w:name w:val="Heading 2"/>
    <w:basedOn w:val="721"/>
    <w:link w:val="74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3">
    <w:name w:val="Heading 3"/>
    <w:basedOn w:val="721"/>
    <w:next w:val="721"/>
    <w:link w:val="76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4">
    <w:name w:val="Heading 4"/>
    <w:basedOn w:val="721"/>
    <w:next w:val="721"/>
    <w:link w:val="76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5" w:default="1">
    <w:name w:val="Default Paragraph Font"/>
    <w:uiPriority w:val="1"/>
    <w:semiHidden/>
    <w:unhideWhenUsed/>
  </w:style>
  <w:style w:type="table" w:styleId="726" w:default="1">
    <w:name w:val="Normal Table"/>
    <w:uiPriority w:val="99"/>
    <w:semiHidden/>
    <w:unhideWhenUsed/>
    <w:tblPr>
      <w:tblInd w:w="0" w:type="dxa"/>
      <w:tblCellMar>
        <w:left w:w="108" w:type="dxa"/>
        <w:top w:w="0" w:type="dxa"/>
        <w:right w:w="108" w:type="dxa"/>
        <w:bottom w:w="0" w:type="dxa"/>
      </w:tblCellMar>
    </w:tblPr>
  </w:style>
  <w:style w:type="numbering" w:styleId="727" w:default="1">
    <w:name w:val="No List"/>
    <w:uiPriority w:val="99"/>
    <w:semiHidden/>
    <w:unhideWhenUsed/>
  </w:style>
  <w:style w:type="paragraph" w:styleId="728">
    <w:name w:val="List Paragraph"/>
    <w:basedOn w:val="721"/>
    <w:link w:val="729"/>
    <w:uiPriority w:val="99"/>
    <w:qFormat/>
    <w:pPr>
      <w:contextualSpacing/>
      <w:ind w:left="720"/>
      <w:spacing w:after="200" w:line="276" w:lineRule="auto"/>
    </w:pPr>
    <w:rPr>
      <w:rFonts w:ascii="Calibri" w:hAnsi="Calibri" w:eastAsia="Calibri" w:cs="Calibri"/>
      <w:lang w:val="ru-RU" w:eastAsia="zh-CN"/>
    </w:rPr>
  </w:style>
  <w:style w:type="character" w:styleId="729" w:customStyle="1">
    <w:name w:val="Абзац списку Знак"/>
    <w:link w:val="728"/>
    <w:uiPriority w:val="99"/>
    <w:qFormat/>
    <w:rPr>
      <w:rFonts w:ascii="Calibri" w:hAnsi="Calibri" w:eastAsia="Calibri" w:cs="Calibri"/>
      <w:lang w:eastAsia="zh-CN"/>
    </w:rPr>
  </w:style>
  <w:style w:type="table" w:styleId="730">
    <w:name w:val="Table Grid"/>
    <w:basedOn w:val="72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Сетка таблицы2"/>
    <w:basedOn w:val="726"/>
    <w:next w:val="73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Normal (Web)"/>
    <w:basedOn w:val="721"/>
    <w:link w:val="739"/>
    <w:unhideWhenUsed/>
    <w:qFormat/>
    <w:rPr>
      <w:rFonts w:ascii="Times New Roman" w:hAnsi="Times New Roman" w:cs="Times New Roman"/>
      <w:sz w:val="24"/>
      <w:szCs w:val="24"/>
    </w:rPr>
  </w:style>
  <w:style w:type="table" w:styleId="733" w:customStyle="1">
    <w:name w:val="Сетка таблицы1"/>
    <w:basedOn w:val="726"/>
    <w:next w:val="73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Footer"/>
    <w:basedOn w:val="721"/>
    <w:link w:val="73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5" w:customStyle="1">
    <w:name w:val="Нижній колонтитул Знак"/>
    <w:basedOn w:val="725"/>
    <w:link w:val="734"/>
    <w:uiPriority w:val="99"/>
    <w:rPr>
      <w:rFonts w:ascii="Calibri" w:hAnsi="Calibri" w:eastAsia="Calibri" w:cs="Calibri"/>
      <w:lang w:eastAsia="zh-CN"/>
    </w:rPr>
  </w:style>
  <w:style w:type="paragraph" w:styleId="73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7">
    <w:name w:val="Hyperlink"/>
    <w:basedOn w:val="725"/>
    <w:uiPriority w:val="99"/>
    <w:unhideWhenUsed/>
    <w:rPr>
      <w:color w:val="0563c1" w:themeColor="hyperlink"/>
      <w:u w:val="single"/>
    </w:rPr>
  </w:style>
  <w:style w:type="character" w:styleId="738" w:customStyle="1">
    <w:name w:val="xfm_93972720"/>
    <w:basedOn w:val="725"/>
  </w:style>
  <w:style w:type="character" w:styleId="739" w:customStyle="1">
    <w:name w:val="Звичайний (веб) Знак"/>
    <w:link w:val="732"/>
    <w:qFormat/>
    <w:rPr>
      <w:rFonts w:ascii="Times New Roman" w:hAnsi="Times New Roman" w:cs="Times New Roman"/>
      <w:sz w:val="24"/>
      <w:szCs w:val="24"/>
      <w:lang w:val="uk-UA"/>
    </w:rPr>
  </w:style>
  <w:style w:type="paragraph" w:styleId="740">
    <w:name w:val="Body Text 2"/>
    <w:basedOn w:val="721"/>
    <w:link w:val="741"/>
    <w:pPr>
      <w:spacing w:after="0" w:line="240" w:lineRule="auto"/>
    </w:pPr>
    <w:rPr>
      <w:rFonts w:ascii="Times New Roman" w:hAnsi="Times New Roman" w:eastAsia="Times New Roman" w:cs="Times New Roman"/>
      <w:sz w:val="28"/>
      <w:szCs w:val="20"/>
      <w:lang w:val="ru-RU" w:eastAsia="ru-RU"/>
    </w:rPr>
  </w:style>
  <w:style w:type="character" w:styleId="741" w:customStyle="1">
    <w:name w:val="Основний текст 2 Знак"/>
    <w:basedOn w:val="725"/>
    <w:link w:val="740"/>
    <w:rPr>
      <w:rFonts w:ascii="Times New Roman" w:hAnsi="Times New Roman" w:eastAsia="Times New Roman" w:cs="Times New Roman"/>
      <w:sz w:val="28"/>
      <w:szCs w:val="20"/>
      <w:lang w:eastAsia="ru-RU"/>
    </w:rPr>
  </w:style>
  <w:style w:type="paragraph" w:styleId="74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3" w:customStyle="1">
    <w:name w:val="Заголовок 2 Знак"/>
    <w:basedOn w:val="725"/>
    <w:link w:val="722"/>
    <w:uiPriority w:val="9"/>
    <w:rPr>
      <w:rFonts w:ascii="Times New Roman" w:hAnsi="Times New Roman" w:eastAsia="Times New Roman" w:cs="Times New Roman"/>
      <w:b/>
      <w:bCs/>
      <w:sz w:val="36"/>
      <w:szCs w:val="36"/>
      <w:lang w:val="uk-UA" w:eastAsia="uk-UA"/>
    </w:rPr>
  </w:style>
  <w:style w:type="paragraph" w:styleId="744">
    <w:name w:val="No Spacing"/>
    <w:link w:val="745"/>
    <w:uiPriority w:val="1"/>
    <w:qFormat/>
    <w:pPr>
      <w:spacing w:after="0" w:line="240" w:lineRule="auto"/>
    </w:pPr>
    <w:rPr>
      <w:rFonts w:ascii="Calibri" w:hAnsi="Calibri" w:eastAsia="Calibri" w:cs="Times New Roman"/>
      <w:lang w:val="uk-UA"/>
    </w:rPr>
  </w:style>
  <w:style w:type="character" w:styleId="745" w:customStyle="1">
    <w:name w:val="Без інтервалів Знак"/>
    <w:basedOn w:val="725"/>
    <w:link w:val="744"/>
    <w:uiPriority w:val="1"/>
    <w:rPr>
      <w:rFonts w:ascii="Calibri" w:hAnsi="Calibri" w:eastAsia="Calibri" w:cs="Times New Roman"/>
      <w:lang w:val="uk-UA"/>
    </w:rPr>
  </w:style>
  <w:style w:type="character" w:styleId="746" w:customStyle="1">
    <w:name w:val="Другое_"/>
    <w:basedOn w:val="725"/>
    <w:link w:val="747"/>
    <w:rPr>
      <w:rFonts w:ascii="Calibri" w:hAnsi="Calibri" w:eastAsia="Calibri" w:cs="Calibri"/>
      <w:sz w:val="20"/>
      <w:szCs w:val="20"/>
    </w:rPr>
  </w:style>
  <w:style w:type="paragraph" w:styleId="747" w:customStyle="1">
    <w:name w:val="Другое"/>
    <w:basedOn w:val="721"/>
    <w:link w:val="746"/>
    <w:qFormat/>
    <w:pPr>
      <w:spacing w:after="0" w:line="240" w:lineRule="auto"/>
      <w:widowControl w:val="off"/>
    </w:pPr>
    <w:rPr>
      <w:rFonts w:ascii="Calibri" w:hAnsi="Calibri" w:eastAsia="Calibri" w:cs="Calibri"/>
      <w:sz w:val="20"/>
      <w:szCs w:val="20"/>
      <w:lang w:val="ru-RU"/>
    </w:rPr>
  </w:style>
  <w:style w:type="paragraph" w:styleId="74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9" w:customStyle="1">
    <w:name w:val="Основной текст (2)_"/>
    <w:basedOn w:val="725"/>
    <w:link w:val="750"/>
    <w:rPr>
      <w:rFonts w:eastAsia="Times New Roman" w:cs="Times New Roman"/>
      <w:shd w:val="clear" w:color="auto" w:fill="ffffff"/>
    </w:rPr>
  </w:style>
  <w:style w:type="paragraph" w:styleId="750" w:customStyle="1">
    <w:name w:val="Основной текст (2)"/>
    <w:basedOn w:val="721"/>
    <w:link w:val="749"/>
    <w:pPr>
      <w:ind w:hanging="700"/>
      <w:jc w:val="both"/>
      <w:spacing w:before="240" w:after="480" w:line="0" w:lineRule="atLeast"/>
      <w:shd w:val="clear" w:color="auto" w:fill="ffffff"/>
      <w:widowControl w:val="off"/>
    </w:pPr>
    <w:rPr>
      <w:rFonts w:eastAsia="Times New Roman" w:cs="Times New Roman"/>
      <w:lang w:val="ru-RU"/>
    </w:rPr>
  </w:style>
  <w:style w:type="character" w:styleId="751" w:customStyle="1">
    <w:name w:val="Текст у виносці Знак"/>
    <w:basedOn w:val="725"/>
    <w:link w:val="752"/>
    <w:uiPriority w:val="99"/>
    <w:semiHidden/>
    <w:rPr>
      <w:rFonts w:ascii="Segoe UI" w:hAnsi="Segoe UI" w:eastAsia="Times New Roman" w:cs="Segoe UI"/>
      <w:sz w:val="18"/>
      <w:szCs w:val="18"/>
      <w:lang w:eastAsia="ru-RU"/>
    </w:rPr>
  </w:style>
  <w:style w:type="paragraph" w:styleId="752">
    <w:name w:val="Balloon Text"/>
    <w:basedOn w:val="721"/>
    <w:link w:val="75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3" w:customStyle="1">
    <w:name w:val="Текст у виносці Знак1"/>
    <w:basedOn w:val="725"/>
    <w:uiPriority w:val="99"/>
    <w:semiHidden/>
    <w:rPr>
      <w:rFonts w:ascii="Segoe UI" w:hAnsi="Segoe UI" w:cs="Segoe UI"/>
      <w:sz w:val="18"/>
      <w:szCs w:val="18"/>
      <w:lang w:val="uk-UA"/>
    </w:rPr>
  </w:style>
  <w:style w:type="character" w:styleId="754" w:customStyle="1">
    <w:name w:val="T23"/>
    <w:rPr>
      <w:rFonts w:hint="default" w:ascii="Times New Roman" w:hAnsi="Times New Roman" w:eastAsia="Times New Roman1" w:cs="Times New Roman"/>
    </w:rPr>
  </w:style>
  <w:style w:type="paragraph" w:styleId="755" w:customStyle="1">
    <w:name w:val="Абзац списку1"/>
    <w:basedOn w:val="72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6" w:customStyle="1">
    <w:name w:val="markedcontent"/>
    <w:basedOn w:val="725"/>
  </w:style>
  <w:style w:type="paragraph" w:styleId="757">
    <w:name w:val="annotation text"/>
    <w:basedOn w:val="721"/>
    <w:link w:val="75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8" w:customStyle="1">
    <w:name w:val="Текст примітки Знак"/>
    <w:basedOn w:val="725"/>
    <w:link w:val="757"/>
    <w:uiPriority w:val="99"/>
    <w:rPr>
      <w:rFonts w:ascii="Times New Roman" w:hAnsi="Times New Roman" w:eastAsia="Times New Roman" w:cs="Times New Roman"/>
      <w:sz w:val="20"/>
      <w:szCs w:val="20"/>
      <w:lang w:eastAsia="ru-RU"/>
    </w:rPr>
  </w:style>
  <w:style w:type="character" w:styleId="759" w:customStyle="1">
    <w:name w:val="docdata"/>
    <w:basedOn w:val="725"/>
  </w:style>
  <w:style w:type="character" w:styleId="760" w:customStyle="1">
    <w:name w:val="Заголовок 3 Знак"/>
    <w:basedOn w:val="725"/>
    <w:link w:val="723"/>
    <w:uiPriority w:val="9"/>
    <w:semiHidden/>
    <w:rPr>
      <w:rFonts w:asciiTheme="majorHAnsi" w:hAnsiTheme="majorHAnsi" w:eastAsiaTheme="majorEastAsia" w:cstheme="majorBidi"/>
      <w:color w:val="1f4d78" w:themeColor="accent1" w:themeShade="7F"/>
      <w:sz w:val="24"/>
      <w:szCs w:val="24"/>
      <w:lang w:val="uk-UA"/>
    </w:rPr>
  </w:style>
  <w:style w:type="character" w:styleId="761" w:customStyle="1">
    <w:name w:val="Заголовок 4 Знак"/>
    <w:basedOn w:val="725"/>
    <w:link w:val="724"/>
    <w:uiPriority w:val="9"/>
    <w:semiHidden/>
    <w:rPr>
      <w:rFonts w:asciiTheme="majorHAnsi" w:hAnsiTheme="majorHAnsi" w:eastAsiaTheme="majorEastAsia" w:cstheme="majorBidi"/>
      <w:i/>
      <w:iCs/>
      <w:color w:val="2e74b5" w:themeColor="accent1" w:themeShade="BF"/>
      <w:lang w:val="uk-UA"/>
    </w:rPr>
  </w:style>
  <w:style w:type="paragraph" w:styleId="762" w:customStyle="1">
    <w:name w:val="name-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3" w:customStyle="1">
    <w:name w:val="cont-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4">
    <w:name w:val="Strong"/>
    <w:basedOn w:val="725"/>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 Id="rId12" Type="http://schemas.openxmlformats.org/officeDocument/2006/relationships/hyperlink" Target="https://www.dzo.com.ua/tenders/17227183" TargetMode="External"/><Relationship Id="rId13" Type="http://schemas.openxmlformats.org/officeDocument/2006/relationships/image" Target="media/image1.png"/><Relationship Id="rId14"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2024-03-25T14:15:45Z</dcterms:modified>
</cp:coreProperties>
</file>