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послуги з цілодобової воєнізованої охорони (1 пост) (охорона об'єкту ДУ ЦІТ МВС України, розміщеного за адресою: м. Львів, вул. Конюшинна, 22) за кодом CPV за ЄЗС ДК 021:2015: 79710000-4 Охоронні послуги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012116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послуги з цілодобової воєнізованої охорони (1 пост) (охорона об'єкту ДУ ЦІТ МВС України, розміщеного за адресою: м. Львів, вул. Конюшинна, 22)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2"/>
        <w:tblW w:w="9634" w:type="dxa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6096" w:type="dxa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6096" w:type="dxa"/>
            <w:vAlign w:val="center"/>
            <w:textDirection w:val="lrTb"/>
            <w:noWrap w:val="false"/>
          </w:tcPr>
          <w:p>
            <w:pPr>
              <w:pStyle w:val="694"/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П</w:t>
            </w:r>
            <w:r>
              <w:rPr>
                <w:rFonts w:eastAsia="Calibri"/>
                <w:b/>
                <w:bCs/>
                <w:color w:val="000000"/>
              </w:rPr>
              <w:t xml:space="preserve">ослуги з цілодобової воєнізованої охорони (1 пост) (охорона об'єкту ДУ ЦІТ МВС України, розміщеного за адресою: м. Львів, вул. Конюшинна, 22)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</w:pPr>
            <w:r>
              <w:t xml:space="preserve">4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</w:pPr>
            <w:r>
              <w:rPr>
                <w:b/>
                <w:bCs/>
                <w:color w:val="000000"/>
              </w:rPr>
              <w:t xml:space="preserve">посл.</w:t>
            </w:r>
            <w:r/>
          </w:p>
        </w:tc>
      </w:tr>
    </w:tbl>
    <w:p>
      <w:pPr>
        <w:pStyle w:val="69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bookmarkEnd w:id="0"/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Запропоновані учасником послуги повинні відповідати діючим стандартам та наступним технічним вимогам: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Завдання та вимоги до учасників торгів  щодо надання охоронних послуг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0"/>
        <w:numPr>
          <w:ilvl w:val="0"/>
          <w:numId w:val="21"/>
        </w:numPr>
        <w:ind w:left="0" w:firstLine="6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здійснення охорони та забезпечення цілісності будівлі і матеріальних цінностей Державної установи «Центр інфраструктури та технологій Міністерства внутрішніх справ України»;</w:t>
      </w:r>
      <w:r/>
    </w:p>
    <w:p>
      <w:pPr>
        <w:pStyle w:val="690"/>
        <w:numPr>
          <w:ilvl w:val="0"/>
          <w:numId w:val="21"/>
        </w:numPr>
        <w:ind w:left="0" w:firstLine="6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забезпечення пропускного режиму працівників та відвідувачів Державної установи «Центр інфраструктури та технологій Міністерства внутрішніх справ України»;</w:t>
      </w:r>
      <w:r/>
    </w:p>
    <w:p>
      <w:pPr>
        <w:pStyle w:val="690"/>
        <w:numPr>
          <w:ilvl w:val="0"/>
          <w:numId w:val="21"/>
        </w:numPr>
        <w:ind w:left="0" w:firstLine="6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внесенням та винесенням (ввезення  та вивезення) товарно-матеріальних цінностей з приміщень, що охороняються;</w:t>
      </w:r>
      <w:r/>
    </w:p>
    <w:p>
      <w:pPr>
        <w:pStyle w:val="690"/>
        <w:numPr>
          <w:ilvl w:val="0"/>
          <w:numId w:val="21"/>
        </w:numPr>
        <w:ind w:left="0" w:firstLine="6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наявність цифрових станцій радіозв’язку в кількості (не менше 4 (чотирьох)); </w:t>
      </w:r>
      <w:r/>
    </w:p>
    <w:p>
      <w:pPr>
        <w:pStyle w:val="690"/>
        <w:numPr>
          <w:ilvl w:val="0"/>
          <w:numId w:val="21"/>
        </w:numPr>
        <w:ind w:left="0" w:firstLine="66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наявність у охоронник</w:t>
      </w:r>
      <w:r>
        <w:rPr>
          <w:rFonts w:ascii="Times New Roman" w:hAnsi="Times New Roman" w:cs="Times New Roman"/>
          <w:sz w:val="24"/>
          <w:szCs w:val="24"/>
        </w:rPr>
        <w:t xml:space="preserve">ів спецзасобів індивідуального захисту та активної оборони (бронежилети, гумові кийки ПР73, газові балончики з аерозолями сльозоточивої та дратівної дії «Кобра-1», та наявність табельної вогнепальної (нарізної) зброї; форменого одягу відповідної пори року;</w:t>
      </w:r>
      <w:r/>
    </w:p>
    <w:p>
      <w:pPr>
        <w:pStyle w:val="690"/>
        <w:numPr>
          <w:ilvl w:val="0"/>
          <w:numId w:val="21"/>
        </w:numPr>
        <w:ind w:left="0" w:firstLine="66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забезпечення залучення до несення служби досвідчених працівників, які відповідають кваліфікаційним вимогам згідно встановлених Ліцензійних умов провадження господарської діяльності з надання послуг пов’язаних з охороною державної та іншої власності;</w:t>
      </w:r>
      <w:r/>
    </w:p>
    <w:p>
      <w:pPr>
        <w:pStyle w:val="690"/>
        <w:numPr>
          <w:ilvl w:val="0"/>
          <w:numId w:val="21"/>
        </w:numPr>
        <w:ind w:left="0" w:firstLine="6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наявність в учасника діючих сертифікатів відповідності (надаються учасником в складі тендерної пропозиції), які підтверджують від</w:t>
      </w:r>
      <w:r>
        <w:rPr>
          <w:rFonts w:ascii="Times New Roman" w:hAnsi="Times New Roman" w:cs="Times New Roman"/>
          <w:sz w:val="24"/>
          <w:szCs w:val="24"/>
        </w:rPr>
        <w:t xml:space="preserve">повідність пункту централізованого спостереження вимогам Державних стандартів України, а саме ДСТУ ЕN 50518-1:2019, ДСТУ ЕN 50518-2:2019, ДСТУ ЕN 50518-3:2019, а також впровадження та застосування системи управління у відповідності до вимог стандарту ДСТУ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 w:cs="Times New Roman"/>
          <w:sz w:val="24"/>
          <w:szCs w:val="24"/>
        </w:rPr>
        <w:t xml:space="preserve"> 18788:2017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 w:cs="Times New Roman"/>
          <w:sz w:val="24"/>
          <w:szCs w:val="24"/>
        </w:rPr>
        <w:t xml:space="preserve"> 18788:2015,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IDT</w:t>
      </w:r>
      <w:r>
        <w:rPr>
          <w:rFonts w:ascii="Times New Roman" w:hAnsi="Times New Roman" w:cs="Times New Roman"/>
          <w:sz w:val="24"/>
          <w:szCs w:val="24"/>
        </w:rPr>
        <w:t xml:space="preserve">) Система управління щодо процесів із забезпечення приватної безпеки та охорони. Вимоги та настанови щодо застосуван</w:t>
      </w:r>
      <w:r>
        <w:rPr>
          <w:rFonts w:ascii="Times New Roman" w:hAnsi="Times New Roman" w:cs="Times New Roman"/>
          <w:sz w:val="24"/>
          <w:szCs w:val="24"/>
        </w:rPr>
        <w:t xml:space="preserve">ня у сфері послуги реагування на спрацювання засобів технічної сигналізації; послуги охорони об’єктів різних форм власності за допомогою фізичної охорони,видані відповідними органами з сертифікації, акредитованим національним органом України з акредитації;</w:t>
      </w:r>
      <w:r/>
    </w:p>
    <w:p>
      <w:pPr>
        <w:pStyle w:val="690"/>
        <w:numPr>
          <w:ilvl w:val="0"/>
          <w:numId w:val="21"/>
        </w:numPr>
        <w:ind w:left="0" w:firstLine="6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гарантійний лист учасника про забезпечення  обов’язкового надходження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сигналу тривожного сповіщення</w:t>
      </w:r>
      <w:r>
        <w:rPr>
          <w:rFonts w:ascii="Times New Roman" w:hAnsi="Times New Roman" w:cs="Times New Roman"/>
          <w:sz w:val="24"/>
          <w:szCs w:val="24"/>
        </w:rPr>
        <w:t xml:space="preserve">на  централізований пульт охорони з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цілодобовою диспетчерською службою (зазначити  номер телефону на пульт охорони);</w:t>
      </w:r>
      <w:r/>
    </w:p>
    <w:p>
      <w:pPr>
        <w:pStyle w:val="690"/>
        <w:numPr>
          <w:ilvl w:val="0"/>
          <w:numId w:val="21"/>
        </w:numPr>
        <w:ind w:left="0" w:firstLine="6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має відноситись до суб’єктів охоронної ді</w:t>
      </w:r>
      <w:r>
        <w:rPr>
          <w:rFonts w:ascii="Times New Roman" w:hAnsi="Times New Roman" w:cs="Times New Roman"/>
          <w:sz w:val="24"/>
          <w:szCs w:val="24"/>
        </w:rPr>
        <w:t xml:space="preserve">яльності, який має власний пульт централізованого спостереження, власний канал зв'язку та власні наряди реагування у складі працівників, озброєних табельною нарізною зброєю (в тому числі автоматичною) з правом її використання в межах чинного законодавства;</w:t>
      </w:r>
      <w:r/>
    </w:p>
    <w:p>
      <w:pPr>
        <w:pStyle w:val="690"/>
        <w:numPr>
          <w:ilvl w:val="0"/>
          <w:numId w:val="21"/>
        </w:numPr>
        <w:ind w:left="0" w:firstLine="6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працівники учасника повинні мати визначені законодавством права та повноваження на озброєну охорону та застосування владних функцій щодо правопорушників. З метою підтвердження даної вимоги учасник в складі тендерної пропозиції надає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менше 10 копій свідоцтв про проходження охоронників навчання у відповідному навчальному закладі, з присвоєнням (підвищенням) розряду охоронника не нижче 3-го (несення служби зі зброєю);</w:t>
      </w:r>
      <w:r/>
    </w:p>
    <w:p>
      <w:pPr>
        <w:pStyle w:val="690"/>
        <w:numPr>
          <w:ilvl w:val="0"/>
          <w:numId w:val="21"/>
        </w:numPr>
        <w:ind w:left="0" w:firstLine="6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гарантійний лист учасника про готовність на вимогу замовника в будь-який час забезпечити посилення охорони на посту, шляхом несенням служби охороною з використанням автоматичної зброї;</w:t>
      </w:r>
      <w:r/>
    </w:p>
    <w:p>
      <w:pPr>
        <w:pStyle w:val="690"/>
        <w:numPr>
          <w:ilvl w:val="0"/>
          <w:numId w:val="21"/>
        </w:numPr>
        <w:ind w:left="0" w:firstLine="6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наявність в учасника діючого спеціального дозволу на провадження діяльності, пов’язаної з державною таємницею, виданого Службою безпеки України (копія спеціального дозволу надається учасником в складі тендерної пропозиції).  </w:t>
      </w:r>
      <w:r/>
    </w:p>
    <w:p>
      <w:pPr>
        <w:pStyle w:val="690"/>
        <w:ind w:left="66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380 000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триста вісімдесят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pStyle w:val="717"/>
        <w:jc w:val="both"/>
        <w:spacing w:before="0" w:beforeAutospacing="0" w:after="0" w:afterAutospacing="0"/>
        <w:shd w:val="clear" w:color="auto" w:fill="ffffff"/>
      </w:pPr>
      <w:r>
        <w:rPr>
          <w:b/>
          <w:lang w:eastAsia="ru-RU"/>
        </w:rPr>
        <w:t xml:space="preserve">7. Обґрунтування </w:t>
      </w:r>
      <w:r>
        <w:rPr>
          <w:b/>
          <w:lang w:eastAsia="ru-RU"/>
        </w:rPr>
        <w:t xml:space="preserve">очікуваної вартості предмета закупівлі:</w:t>
      </w:r>
      <w:r>
        <w:rPr>
          <w:lang w:eastAsia="ru-RU"/>
        </w:rPr>
        <w:t xml:space="preserve"> </w:t>
      </w:r>
      <w:r>
        <w:rPr>
          <w:lang w:eastAsia="ru-RU"/>
        </w:rPr>
        <w:t xml:space="preserve">Очікувана вартість визначена відповідно до пункту </w:t>
      </w:r>
      <w:r>
        <w:rPr>
          <w:lang w:eastAsia="ru-RU"/>
        </w:rPr>
        <w:t xml:space="preserve">2</w:t>
      </w:r>
      <w:r>
        <w:rPr>
          <w:lang w:eastAsia="ru-RU"/>
        </w:rPr>
        <w:t xml:space="preserve"> Розділу ІІІ «Методи визначення очікуваної вартості»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</w:t>
      </w:r>
      <w:r>
        <w:rPr>
          <w:shd w:val="clear" w:color="auto" w:fill="ffffff"/>
        </w:rPr>
        <w:t xml:space="preserve">на підставі цін попередніх закупівель, розраховується за такою формулою:</w:t>
      </w:r>
      <w:r>
        <w:rPr>
          <w:lang w:eastAsia="ru-RU"/>
        </w:rPr>
        <w:t xml:space="preserve">: </w:t>
      </w:r>
      <w:r>
        <w:rPr>
          <w:rStyle w:val="718"/>
          <w:b/>
          <w:bCs/>
        </w:rPr>
        <w:t xml:space="preserve">ОВ</w:t>
      </w:r>
      <w:r>
        <w:rPr>
          <w:rStyle w:val="719"/>
          <w:b/>
          <w:bCs/>
          <w:vertAlign w:val="superscript"/>
        </w:rPr>
        <w:t xml:space="preserve"> i</w:t>
      </w:r>
      <w:r>
        <w:t xml:space="preserve"> </w:t>
      </w:r>
      <w:r>
        <w:rPr>
          <w:rStyle w:val="718"/>
          <w:b/>
          <w:bCs/>
        </w:rPr>
        <w:t xml:space="preserve">= V * Ц</w:t>
      </w:r>
      <w:r>
        <w:rPr>
          <w:rStyle w:val="720"/>
          <w:b/>
          <w:bCs/>
          <w:vertAlign w:val="subscript"/>
        </w:rPr>
        <w:t xml:space="preserve"> м.п.</w:t>
      </w:r>
      <w:r>
        <w:rPr>
          <w:rStyle w:val="718"/>
          <w:b/>
          <w:bCs/>
        </w:rPr>
        <w:t xml:space="preserve"> х k</w:t>
      </w:r>
      <w:r>
        <w:rPr>
          <w:rStyle w:val="720"/>
          <w:b/>
          <w:bCs/>
          <w:vertAlign w:val="subscript"/>
        </w:rPr>
        <w:t xml:space="preserve"> i</w:t>
      </w:r>
      <w:r>
        <w:t xml:space="preserve">,</w:t>
      </w:r>
      <w:r>
        <w:rPr>
          <w:lang w:eastAsia="ru-RU"/>
        </w:rPr>
        <w:t xml:space="preserve">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6"/>
  </w:num>
  <w:num w:numId="7">
    <w:abstractNumId w:val="7"/>
  </w:num>
  <w:num w:numId="8">
    <w:abstractNumId w:val="18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7"/>
  </w:num>
  <w:num w:numId="17">
    <w:abstractNumId w:val="0"/>
  </w:num>
  <w:num w:numId="18">
    <w:abstractNumId w:val="19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5"/>
    <w:next w:val="68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7"/>
    <w:link w:val="68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5"/>
    <w:next w:val="68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5"/>
    <w:next w:val="68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5"/>
    <w:next w:val="68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5"/>
    <w:next w:val="68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5"/>
    <w:next w:val="68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5"/>
    <w:next w:val="68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5"/>
    <w:next w:val="68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5"/>
    <w:next w:val="68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7"/>
    <w:link w:val="33"/>
    <w:uiPriority w:val="10"/>
    <w:rPr>
      <w:sz w:val="48"/>
      <w:szCs w:val="48"/>
    </w:rPr>
  </w:style>
  <w:style w:type="paragraph" w:styleId="35">
    <w:name w:val="Subtitle"/>
    <w:basedOn w:val="685"/>
    <w:next w:val="68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7"/>
    <w:link w:val="35"/>
    <w:uiPriority w:val="11"/>
    <w:rPr>
      <w:sz w:val="24"/>
      <w:szCs w:val="24"/>
    </w:rPr>
  </w:style>
  <w:style w:type="paragraph" w:styleId="37">
    <w:name w:val="Quote"/>
    <w:basedOn w:val="685"/>
    <w:next w:val="68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5"/>
    <w:next w:val="68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7"/>
    <w:link w:val="41"/>
    <w:uiPriority w:val="99"/>
  </w:style>
  <w:style w:type="character" w:styleId="44">
    <w:name w:val="Footer Char"/>
    <w:basedOn w:val="687"/>
    <w:link w:val="696"/>
    <w:uiPriority w:val="99"/>
  </w:style>
  <w:style w:type="paragraph" w:styleId="45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6"/>
    <w:uiPriority w:val="99"/>
  </w:style>
  <w:style w:type="table" w:styleId="48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7"/>
    <w:uiPriority w:val="99"/>
    <w:unhideWhenUsed/>
    <w:rPr>
      <w:vertAlign w:val="superscript"/>
    </w:rPr>
  </w:style>
  <w:style w:type="paragraph" w:styleId="177">
    <w:name w:val="endnote text"/>
    <w:basedOn w:val="68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7"/>
    <w:uiPriority w:val="99"/>
    <w:semiHidden/>
    <w:unhideWhenUsed/>
    <w:rPr>
      <w:vertAlign w:val="superscript"/>
    </w:rPr>
  </w:style>
  <w:style w:type="paragraph" w:styleId="180">
    <w:name w:val="toc 1"/>
    <w:basedOn w:val="685"/>
    <w:next w:val="68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5"/>
    <w:next w:val="68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5"/>
    <w:next w:val="68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5"/>
    <w:next w:val="68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5"/>
    <w:next w:val="68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5"/>
    <w:next w:val="68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5"/>
    <w:next w:val="68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5"/>
    <w:next w:val="68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5"/>
    <w:next w:val="68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5"/>
    <w:next w:val="685"/>
    <w:uiPriority w:val="99"/>
    <w:unhideWhenUsed/>
    <w:pPr>
      <w:spacing w:after="0" w:afterAutospacing="0"/>
    </w:pPr>
  </w:style>
  <w:style w:type="paragraph" w:styleId="685" w:default="1">
    <w:name w:val="Normal"/>
    <w:qFormat/>
    <w:rPr>
      <w:lang w:val="uk-UA"/>
    </w:rPr>
  </w:style>
  <w:style w:type="paragraph" w:styleId="686">
    <w:name w:val="Heading 2"/>
    <w:basedOn w:val="685"/>
    <w:link w:val="70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paragraph" w:styleId="690">
    <w:name w:val="List Paragraph"/>
    <w:basedOn w:val="685"/>
    <w:link w:val="69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1" w:customStyle="1">
    <w:name w:val="Абзац списку Знак"/>
    <w:link w:val="690"/>
    <w:uiPriority w:val="34"/>
    <w:rPr>
      <w:rFonts w:ascii="Calibri" w:hAnsi="Calibri" w:eastAsia="Calibri" w:cs="Calibri"/>
      <w:lang w:eastAsia="zh-CN"/>
    </w:rPr>
  </w:style>
  <w:style w:type="table" w:styleId="692">
    <w:name w:val="Table Grid"/>
    <w:basedOn w:val="6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3" w:customStyle="1">
    <w:name w:val="Сетка таблицы2"/>
    <w:basedOn w:val="688"/>
    <w:next w:val="69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Normal (Web)"/>
    <w:basedOn w:val="685"/>
    <w:link w:val="701"/>
    <w:unhideWhenUsed/>
    <w:qFormat/>
    <w:rPr>
      <w:rFonts w:ascii="Times New Roman" w:hAnsi="Times New Roman" w:cs="Times New Roman"/>
      <w:sz w:val="24"/>
      <w:szCs w:val="24"/>
    </w:rPr>
  </w:style>
  <w:style w:type="table" w:styleId="695" w:customStyle="1">
    <w:name w:val="Сетка таблицы1"/>
    <w:basedOn w:val="688"/>
    <w:next w:val="69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Footer"/>
    <w:basedOn w:val="685"/>
    <w:link w:val="69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7" w:customStyle="1">
    <w:name w:val="Нижній колонтитул Знак"/>
    <w:basedOn w:val="687"/>
    <w:link w:val="696"/>
    <w:uiPriority w:val="99"/>
    <w:rPr>
      <w:rFonts w:ascii="Calibri" w:hAnsi="Calibri" w:eastAsia="Calibri" w:cs="Calibri"/>
      <w:lang w:eastAsia="zh-CN"/>
    </w:rPr>
  </w:style>
  <w:style w:type="paragraph" w:styleId="69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9">
    <w:name w:val="Hyperlink"/>
    <w:basedOn w:val="687"/>
    <w:uiPriority w:val="99"/>
    <w:unhideWhenUsed/>
    <w:rPr>
      <w:color w:val="0563c1" w:themeColor="hyperlink"/>
      <w:u w:val="single"/>
    </w:rPr>
  </w:style>
  <w:style w:type="character" w:styleId="700" w:customStyle="1">
    <w:name w:val="xfm_93972720"/>
    <w:basedOn w:val="687"/>
  </w:style>
  <w:style w:type="character" w:styleId="701" w:customStyle="1">
    <w:name w:val="Звичайний (веб) Знак"/>
    <w:link w:val="694"/>
    <w:qFormat/>
    <w:rPr>
      <w:rFonts w:ascii="Times New Roman" w:hAnsi="Times New Roman" w:cs="Times New Roman"/>
      <w:sz w:val="24"/>
      <w:szCs w:val="24"/>
      <w:lang w:val="uk-UA"/>
    </w:rPr>
  </w:style>
  <w:style w:type="paragraph" w:styleId="702">
    <w:name w:val="Body Text 2"/>
    <w:basedOn w:val="685"/>
    <w:link w:val="70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3" w:customStyle="1">
    <w:name w:val="Основний текст 2 Знак"/>
    <w:basedOn w:val="687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5" w:customStyle="1">
    <w:name w:val="Заголовок 2 Знак"/>
    <w:basedOn w:val="687"/>
    <w:link w:val="68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6">
    <w:name w:val="No Spacing"/>
    <w:link w:val="70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7" w:customStyle="1">
    <w:name w:val="Без інтервалів Знак"/>
    <w:basedOn w:val="687"/>
    <w:link w:val="706"/>
    <w:uiPriority w:val="1"/>
    <w:rPr>
      <w:rFonts w:ascii="Calibri" w:hAnsi="Calibri" w:eastAsia="Calibri" w:cs="Times New Roman"/>
      <w:lang w:val="uk-UA"/>
    </w:rPr>
  </w:style>
  <w:style w:type="character" w:styleId="708" w:customStyle="1">
    <w:name w:val="Другое_"/>
    <w:basedOn w:val="687"/>
    <w:link w:val="709"/>
    <w:rPr>
      <w:rFonts w:ascii="Calibri" w:hAnsi="Calibri" w:eastAsia="Calibri" w:cs="Calibri"/>
      <w:sz w:val="20"/>
      <w:szCs w:val="20"/>
    </w:rPr>
  </w:style>
  <w:style w:type="paragraph" w:styleId="709" w:customStyle="1">
    <w:name w:val="Другое"/>
    <w:basedOn w:val="685"/>
    <w:link w:val="70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1" w:customStyle="1">
    <w:name w:val="Основной текст (2)_"/>
    <w:basedOn w:val="687"/>
    <w:link w:val="712"/>
    <w:rPr>
      <w:rFonts w:eastAsia="Times New Roman" w:cs="Times New Roman"/>
      <w:shd w:val="clear" w:color="auto" w:fill="ffffff"/>
    </w:rPr>
  </w:style>
  <w:style w:type="paragraph" w:styleId="712" w:customStyle="1">
    <w:name w:val="Основной текст (2)"/>
    <w:basedOn w:val="685"/>
    <w:link w:val="71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3" w:customStyle="1">
    <w:name w:val="Текст у виносці Знак"/>
    <w:basedOn w:val="687"/>
    <w:link w:val="71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4">
    <w:name w:val="Balloon Text"/>
    <w:basedOn w:val="685"/>
    <w:link w:val="71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5" w:customStyle="1">
    <w:name w:val="Текст у виносці Знак1"/>
    <w:basedOn w:val="68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6" w:customStyle="1">
    <w:name w:val="T23"/>
    <w:rPr>
      <w:rFonts w:hint="default" w:ascii="Times New Roman" w:hAnsi="Times New Roman" w:eastAsia="Times New Roman1" w:cs="Times New Roman"/>
    </w:rPr>
  </w:style>
  <w:style w:type="paragraph" w:styleId="717" w:customStyle="1">
    <w:name w:val="rvps12"/>
    <w:basedOn w:val="6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18" w:customStyle="1">
    <w:name w:val="rvts9"/>
    <w:basedOn w:val="687"/>
  </w:style>
  <w:style w:type="character" w:styleId="719" w:customStyle="1">
    <w:name w:val="rvts37"/>
    <w:basedOn w:val="687"/>
  </w:style>
  <w:style w:type="character" w:styleId="720" w:customStyle="1">
    <w:name w:val="rvts40"/>
    <w:basedOn w:val="68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142</cp:revision>
  <dcterms:created xsi:type="dcterms:W3CDTF">2022-11-01T12:47:00Z</dcterms:created>
  <dcterms:modified xsi:type="dcterms:W3CDTF">2023-08-14T10:23:30Z</dcterms:modified>
</cp:coreProperties>
</file>