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(відповідно до пункту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 постанови КМУ від 11.10.2016 № 710 «Про ефективне використання державних коштів» (зі змінами))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Найменування, місцезнаходження та ідентифікаційний код замовника в Єдиному державному реєстрі юридичних осіб, фізичних осіб-підприємців та громадських формувань, його категорія: </w:t>
      </w:r>
      <w:r>
        <w:rPr>
          <w:rFonts w:ascii="Times New Roman" w:hAnsi="Times New Roman" w:cs="Times New Roman"/>
          <w:sz w:val="24"/>
          <w:szCs w:val="24"/>
        </w:rPr>
        <w:t xml:space="preserve">ДЕРЖАВНА УСТАНОВА "ЦЕНТР ІНФРАСТРУКТУРИ ТА ТЕХНОЛОГІЙ МІНІСТЕРСТВА ВНУТРІШНІХ СПРАВ УКРАЇНИ"; 03151, Україна, м. Київ, вул. Володимира </w:t>
      </w:r>
      <w:r>
        <w:rPr>
          <w:rFonts w:ascii="Times New Roman" w:hAnsi="Times New Roman" w:cs="Times New Roman"/>
          <w:sz w:val="24"/>
          <w:szCs w:val="24"/>
        </w:rPr>
        <w:t xml:space="preserve">Сікевича</w:t>
      </w:r>
      <w:r>
        <w:rPr>
          <w:rFonts w:ascii="Times New Roman" w:hAnsi="Times New Roman" w:cs="Times New Roman"/>
          <w:sz w:val="24"/>
          <w:szCs w:val="24"/>
        </w:rPr>
        <w:t xml:space="preserve">, 28; категорія замовника – бюджетна неприбуткова установа. 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686"/>
        <w:jc w:val="both"/>
        <w:spacing w:before="0" w:beforeAutospacing="0" w:after="0" w:afterAutospacing="0"/>
        <w:shd w:val="clear" w:color="auto" w:fill="ffffff" w:themeFill="background1"/>
        <w:rPr>
          <w:b w:val="0"/>
          <w:bCs w:val="0"/>
          <w:color w:val="585858"/>
          <w:sz w:val="24"/>
          <w:szCs w:val="24"/>
        </w:rPr>
      </w:pPr>
      <w:r>
        <w:rPr>
          <w:sz w:val="24"/>
          <w:szCs w:val="24"/>
        </w:rPr>
        <w:t xml:space="preserve">2</w:t>
      </w:r>
      <w:r>
        <w:rPr>
          <w:sz w:val="24"/>
          <w:szCs w:val="24"/>
        </w:rPr>
        <w:t xml:space="preserve">. Назва предм</w:t>
      </w:r>
      <w:r>
        <w:rPr>
          <w:sz w:val="24"/>
          <w:szCs w:val="24"/>
        </w:rPr>
        <w:t xml:space="preserve">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наявності): </w:t>
      </w:r>
      <w:r>
        <w:rPr>
          <w:b w:val="0"/>
          <w:bCs w:val="0"/>
          <w:sz w:val="24"/>
          <w:szCs w:val="24"/>
        </w:rPr>
        <w:t xml:space="preserve"> </w:t>
      </w:r>
      <w:hyperlink r:id="rId11" w:tooltip="https://www.dzo.com.ua/tenders/17227183" w:history="1">
        <w:r>
          <w:rPr>
            <w:b w:val="0"/>
            <w:bCs w:val="0"/>
            <w:sz w:val="24"/>
            <w:szCs w:val="24"/>
            <w:u w:val="single"/>
          </w:rPr>
          <w:t xml:space="preserve"> </w:t>
        </w:r>
        <w:bookmarkStart w:id="0" w:name="_Hlk139615905"/>
        <w:r>
          <w:rPr>
            <w:rStyle w:val="699"/>
            <w:b w:val="0"/>
            <w:bCs w:val="0"/>
            <w:color w:val="000000"/>
            <w:sz w:val="24"/>
            <w:szCs w:val="24"/>
          </w:rPr>
          <w:t xml:space="preserve">Закупівля </w:t>
        </w:r>
        <w:r>
          <w:rPr>
            <w:b w:val="0"/>
            <w:bCs w:val="0"/>
            <w:sz w:val="24"/>
            <w:szCs w:val="24"/>
            <w:u w:val="single"/>
            <w:shd w:val="clear" w:color="auto" w:fill="ffffff"/>
          </w:rPr>
          <w:t xml:space="preserve">комплектів офісних меблів</w:t>
        </w:r>
        <w:r>
          <w:rPr>
            <w:rStyle w:val="699"/>
            <w:b w:val="0"/>
            <w:bCs w:val="0"/>
            <w:color w:val="000000"/>
            <w:sz w:val="24"/>
            <w:szCs w:val="24"/>
          </w:rPr>
          <w:t xml:space="preserve"> за ДК 021:2015: 39130000-2 </w:t>
        </w:r>
        <w:bookmarkEnd w:id="0"/>
      </w:hyperlink>
      <w:r>
        <w:rPr>
          <w:b w:val="0"/>
          <w:bCs w:val="0"/>
          <w:sz w:val="24"/>
          <w:szCs w:val="24"/>
          <w:u w:val="single"/>
        </w:rPr>
        <w:t xml:space="preserve"> Офісні меблі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Ідентифікатор закупівлі: — </w:t>
      </w:r>
      <w:r>
        <w:rPr>
          <w:rFonts w:ascii="Times New Roman" w:hAnsi="Times New Roman" w:cs="Times New Roman"/>
          <w:sz w:val="24"/>
          <w:szCs w:val="24"/>
        </w:rPr>
        <w:t xml:space="preserve">UA-2023-</w:t>
      </w:r>
      <w:r>
        <w:rPr>
          <w:rFonts w:ascii="Times New Roman" w:hAnsi="Times New Roman" w:cs="Times New Roman"/>
          <w:sz w:val="24"/>
          <w:szCs w:val="24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012281</w:t>
      </w:r>
      <w:r>
        <w:rPr>
          <w:rFonts w:ascii="Times New Roman" w:hAnsi="Times New Roman" w:cs="Times New Roman"/>
          <w:sz w:val="24"/>
          <w:szCs w:val="24"/>
        </w:rPr>
        <w:t xml:space="preserve">-а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86"/>
        <w:jc w:val="both"/>
        <w:spacing w:before="0" w:beforeAutospacing="0" w:after="0" w:afterAutospacing="0"/>
        <w:shd w:val="clear" w:color="auto" w:fill="ffffff" w:themeFill="background1"/>
        <w:rPr>
          <w:b w:val="0"/>
          <w:bCs w:val="0"/>
          <w:color w:val="585858"/>
          <w:sz w:val="24"/>
          <w:szCs w:val="24"/>
        </w:rPr>
      </w:pPr>
      <w:r>
        <w:rPr>
          <w:sz w:val="24"/>
          <w:lang w:eastAsia="ru-RU"/>
        </w:rPr>
        <w:t xml:space="preserve">4. Обґрунтування технічних та якісних </w:t>
      </w:r>
      <w:r>
        <w:rPr>
          <w:sz w:val="24"/>
          <w:lang w:eastAsia="ru-RU"/>
        </w:rPr>
        <w:t xml:space="preserve">характеристик предмета закупівлі: </w:t>
      </w:r>
      <w:r>
        <w:rPr>
          <w:sz w:val="24"/>
          <w:lang w:eastAsia="ru-RU"/>
        </w:rPr>
        <w:t xml:space="preserve"> </w:t>
      </w:r>
      <w:hyperlink r:id="rId12" w:tooltip="https://www.dzo.com.ua/tenders/17227183" w:history="1">
        <w:r>
          <w:rPr>
            <w:b w:val="0"/>
            <w:bCs w:val="0"/>
            <w:sz w:val="24"/>
            <w:szCs w:val="24"/>
            <w:u w:val="single"/>
          </w:rPr>
          <w:t xml:space="preserve"> </w:t>
        </w:r>
        <w:r>
          <w:rPr>
            <w:rStyle w:val="699"/>
            <w:b w:val="0"/>
            <w:bCs w:val="0"/>
            <w:color w:val="000000"/>
            <w:sz w:val="24"/>
            <w:szCs w:val="24"/>
          </w:rPr>
          <w:t xml:space="preserve">Закупівля </w:t>
        </w:r>
        <w:r>
          <w:rPr>
            <w:b w:val="0"/>
            <w:bCs w:val="0"/>
            <w:sz w:val="24"/>
            <w:szCs w:val="24"/>
            <w:u w:val="single"/>
            <w:shd w:val="clear" w:color="auto" w:fill="ffffff"/>
          </w:rPr>
          <w:t xml:space="preserve">комплектів офісних меблів</w:t>
        </w:r>
        <w:r>
          <w:rPr>
            <w:rStyle w:val="699"/>
            <w:b w:val="0"/>
            <w:bCs w:val="0"/>
            <w:color w:val="000000"/>
            <w:sz w:val="24"/>
            <w:szCs w:val="24"/>
          </w:rPr>
          <w:t xml:space="preserve"> за ДК 021:2015: 39130000-2 </w:t>
        </w:r>
      </w:hyperlink>
      <w:r>
        <w:rPr>
          <w:b w:val="0"/>
          <w:bCs w:val="0"/>
          <w:sz w:val="24"/>
          <w:szCs w:val="24"/>
          <w:u w:val="single"/>
        </w:rPr>
        <w:t xml:space="preserve"> Офісні меблі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357"/>
        <w:jc w:val="center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ТЕХНІЧНІ ВИМОГИ</w:t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357"/>
        <w:jc w:val="center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  <w:r/>
    </w:p>
    <w:tbl>
      <w:tblPr>
        <w:tblStyle w:val="692"/>
        <w:tblW w:w="9634" w:type="dxa"/>
        <w:tblLook w:val="04A0" w:firstRow="1" w:lastRow="0" w:firstColumn="1" w:lastColumn="0" w:noHBand="0" w:noVBand="1"/>
      </w:tblPr>
      <w:tblGrid>
        <w:gridCol w:w="562"/>
        <w:gridCol w:w="5670"/>
        <w:gridCol w:w="1701"/>
        <w:gridCol w:w="1701"/>
      </w:tblGrid>
      <w:tr>
        <w:trPr/>
        <w:tc>
          <w:tcPr>
            <w:tcW w:w="562" w:type="dxa"/>
            <w:textDirection w:val="lrTb"/>
            <w:noWrap w:val="false"/>
          </w:tcPr>
          <w:p>
            <w:pPr>
              <w:pStyle w:val="69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п/п</w:t>
            </w:r>
            <w:r/>
          </w:p>
        </w:tc>
        <w:tc>
          <w:tcPr>
            <w:tcW w:w="5670" w:type="dxa"/>
            <w:textDirection w:val="lrTb"/>
            <w:noWrap w:val="false"/>
          </w:tcPr>
          <w:p>
            <w:pPr>
              <w:pStyle w:val="69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Назва системи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Одиниця виміру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69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Кількість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4"/>
              <w:jc w:val="center"/>
            </w:pPr>
            <w:r>
              <w:rPr>
                <w:b/>
                <w:bCs/>
              </w:rPr>
              <w:t xml:space="preserve">1</w:t>
            </w:r>
            <w:r/>
          </w:p>
        </w:tc>
        <w:tc>
          <w:tcPr>
            <w:tcW w:w="5670" w:type="dxa"/>
            <w:textDirection w:val="lrTb"/>
            <w:noWrap w:val="false"/>
          </w:tcPr>
          <w:p>
            <w:pPr>
              <w:pStyle w:val="694"/>
              <w:rPr>
                <w:b/>
                <w:bCs/>
              </w:rPr>
            </w:pPr>
            <w:r>
              <w:rPr>
                <w:b/>
                <w:bCs/>
                <w:shd w:val="clear" w:color="auto" w:fill="ffffff"/>
              </w:rPr>
              <w:t xml:space="preserve">Комплект меблів кабінет No218 (Робоча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shd w:val="clear" w:color="auto" w:fill="ffffff"/>
              </w:rPr>
              <w:t xml:space="preserve">станція на 1ну особу із тумбою,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дворівнева полиця, стелаж-шафа, пенал,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shd w:val="clear" w:color="auto" w:fill="ffffff"/>
              </w:rPr>
              <w:t xml:space="preserve">журнальний столик, кутова робоча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  <w:shd w:val="clear" w:color="auto" w:fill="ffffff"/>
              </w:rPr>
              <w:t xml:space="preserve">станція на 1ну особу, тумба офісна)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4"/>
              <w:jc w:val="center"/>
            </w:pPr>
            <w:r>
              <w:t xml:space="preserve">шт.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4"/>
              <w:jc w:val="center"/>
            </w:pPr>
            <w:r>
              <w:rPr>
                <w:b/>
              </w:rPr>
              <w:t xml:space="preserve">1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</w:t>
            </w:r>
            <w:r/>
          </w:p>
        </w:tc>
        <w:tc>
          <w:tcPr>
            <w:tcW w:w="5670" w:type="dxa"/>
            <w:textDirection w:val="lrTb"/>
            <w:noWrap w:val="false"/>
          </w:tcPr>
          <w:p>
            <w:pPr>
              <w:pStyle w:val="694"/>
              <w:rPr>
                <w:rStyle w:val="718"/>
                <w:b/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 xml:space="preserve">Комплект меблів 1й поверх оперативний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зал (Робоча станція на 1ну особу з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офісною мобільною тумбою-6 шт.,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офісна тумба з 2ма дверцятами - 1шт,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ffffff"/>
              </w:rPr>
              <w:t xml:space="preserve">Стелаж)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4"/>
              <w:jc w:val="center"/>
            </w:pPr>
            <w:r>
              <w:t xml:space="preserve">шт.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4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</w:tr>
      <w:tr>
        <w:trPr/>
        <w:tc>
          <w:tcPr>
            <w:tcW w:w="562" w:type="dxa"/>
            <w:vAlign w:val="center"/>
            <w:textDirection w:val="lrTb"/>
            <w:noWrap w:val="false"/>
          </w:tcPr>
          <w:p>
            <w:pPr>
              <w:pStyle w:val="69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</w:t>
            </w:r>
            <w:r/>
          </w:p>
        </w:tc>
        <w:tc>
          <w:tcPr>
            <w:tcW w:w="5670" w:type="dxa"/>
            <w:textDirection w:val="lrTb"/>
            <w:noWrap w:val="false"/>
          </w:tcPr>
          <w:p>
            <w:pPr>
              <w:pStyle w:val="694"/>
              <w:rPr>
                <w:rStyle w:val="718"/>
                <w:b/>
                <w:bCs/>
                <w:color w:val="000000"/>
                <w:shd w:val="clear" w:color="auto" w:fill="ffffff"/>
              </w:rPr>
            </w:pPr>
            <w:r>
              <w:rPr>
                <w:rStyle w:val="717"/>
                <w:b/>
                <w:bCs/>
                <w:shd w:val="clear" w:color="auto" w:fill="ffffff"/>
              </w:rPr>
              <w:t xml:space="preserve">Комплект робочих станцій на 1ну особу</w:t>
            </w:r>
            <w:r>
              <w:rPr>
                <w:b/>
                <w:bCs/>
                <w:shd w:val="clear" w:color="auto" w:fill="ffffff"/>
              </w:rPr>
              <w:br/>
            </w:r>
            <w:r>
              <w:rPr>
                <w:rStyle w:val="717"/>
                <w:b/>
                <w:bCs/>
                <w:shd w:val="clear" w:color="auto" w:fill="ffffff"/>
              </w:rPr>
              <w:t xml:space="preserve">(Робоча станція на 1ну особу - 3шт)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4"/>
              <w:jc w:val="center"/>
            </w:pPr>
            <w:r>
              <w:t xml:space="preserve">шт.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4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/>
          </w:p>
        </w:tc>
      </w:tr>
    </w:tbl>
    <w:p>
      <w:pPr>
        <w:pStyle w:val="694"/>
        <w:jc w:val="both"/>
        <w:spacing w:after="0" w:line="240" w:lineRule="auto"/>
        <w:rPr>
          <w:b/>
          <w:bCs/>
          <w:i/>
          <w:iCs/>
          <w:lang w:eastAsia="ru-RU"/>
        </w:rPr>
      </w:pPr>
      <w:r>
        <w:rPr>
          <w:b/>
          <w:bCs/>
          <w:i/>
          <w:iCs/>
          <w:lang w:eastAsia="ru-RU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 ціну мають бути включені прямі, загальновиробничі та адміністративні витрати з урахуванням витрат, у тому ч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ислі, але не виключно: транспортні витрати, доплати працівникам у зв’язку з втратою часу в дорозі, зв’язок, страхування, спецзасоби, а також економічно обґрунтований прибуток, який Постачальник планує отримати в результаті продажу, кошти на покриття ризикі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та/або додаткових витрат, пов’язаних з інфляційними процесами, усі податки і збори, обов’язкові платежі, що сплачуються або мають бути сплачені Постачальником для поставки Товару, зокрема податок на додану вартість, інші витрати, необхідні для виконання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проєкту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Договору до моменту його повного завершення.</w:t>
      </w:r>
      <w:r/>
    </w:p>
    <w:p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ind w:firstLine="567"/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Характеристики товару повинні відповідати вимогам або бути кращими тих, які наведені в таблиці.</w:t>
      </w:r>
      <w:r>
        <w:rPr>
          <w:rFonts w:ascii="Times New Roman" w:hAnsi="Times New Roman" w:cs="Times New Roman"/>
          <w:sz w:val="24"/>
          <w:szCs w:val="24"/>
          <w:lang w:eastAsia="uk-UA"/>
        </w:rPr>
        <w:t xml:space="preserve"> Пропо</w:t>
      </w:r>
      <w:r>
        <w:rPr>
          <w:rFonts w:ascii="Times New Roman" w:hAnsi="Times New Roman" w:cs="Times New Roman"/>
          <w:sz w:val="24"/>
          <w:szCs w:val="24"/>
          <w:lang w:eastAsia="uk-UA"/>
        </w:rPr>
        <w:t xml:space="preserve">зиція Учасника має містити чітке зазначення виробника, моделі та артикулу для можливості перевірки запропонованого товару технічним вимогам Замовника. У разі відсутності зазначених вимог, Замовник залишає право відхилити пропозицію запропонованого товару. 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1. Товар повинен бути новим, з повною комплектацією. З товаром поставляються технічний паспорт чи інструкція з експлуатації українською мовою</w:t>
      </w:r>
      <w:r>
        <w:rPr>
          <w:rFonts w:ascii="Times New Roman" w:hAnsi="Times New Roman" w:cs="Times New Roman"/>
          <w:sz w:val="24"/>
          <w:szCs w:val="24"/>
          <w:lang w:eastAsia="uk-UA"/>
        </w:rPr>
        <w:t xml:space="preserve">, гарантійні талони, набір драйверів тощо,  передбачених для товару. Упаковка, в якій постачається товар, повинна відповідати загальноприйнятим стандартам та технічним умовам, забезпечувати зберігання товару, та/або його неушкодженість при транспортуванні.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2. Технічні та якісні характеристики повинні відповідати вимогам та стандартам відповідних діючих нормативних документів.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3. Доставка товару здійснюється за рахунок та силами Постачальника, у терміни попередньо узгоджені, і визначається в кожному випадку замовленням Замовника.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4. Приймання товарів проводиться при наявності товаро супроводжуючих документів, видаткової накладної та копії документів, що підтверджують якість товарів.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5. Гарантія на товар повинна бути не менше гарантії виробника та складати не менше 12 (дванадцять) місяців (надати гарантійний лист)</w:t>
      </w:r>
      <w:r/>
    </w:p>
    <w:p>
      <w:pPr>
        <w:jc w:val="both"/>
        <w:spacing w:line="240" w:lineRule="auto"/>
        <w:rPr>
          <w:rFonts w:ascii="Times New Roman" w:hAnsi="Times New Roman" w:eastAsia="Times New Roman1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6. </w:t>
      </w:r>
      <w:r>
        <w:rPr>
          <w:rFonts w:ascii="Times New Roman" w:hAnsi="Times New Roman" w:eastAsia="Times New Roman1" w:cs="Times New Roman"/>
          <w:sz w:val="24"/>
          <w:szCs w:val="24"/>
        </w:rPr>
        <w:t xml:space="preserve">Товар, що є предметом закупівлі, постачається у зібраному вигляді, готовим до використання.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uk-UA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Враховуючи специфіку будівлі та складність розташування меблів, з урахуванням виготовлення меблів під розміри кімнат в установі, Учаснику, до закінчення кінцевого строку подання тендерних пропозицій необхідно відвідати об’єкт за </w:t>
      </w:r>
      <w:r>
        <w:rPr>
          <w:rFonts w:ascii="Times New Roman" w:hAnsi="Times New Roman" w:cs="Times New Roman"/>
          <w:sz w:val="24"/>
          <w:szCs w:val="24"/>
        </w:rPr>
        <w:t xml:space="preserve">адресою</w:t>
      </w:r>
      <w:r>
        <w:rPr>
          <w:rFonts w:ascii="Times New Roman" w:hAnsi="Times New Roman" w:cs="Times New Roman"/>
          <w:sz w:val="24"/>
          <w:szCs w:val="24"/>
        </w:rPr>
        <w:t xml:space="preserve"> замовника ознайомитися з специфікою розташування меблів та здійснити самостійні заміри, за результатами чого складається довідка/акт про те, що учасник/уповноважена особа учасника (прізвище, ім’я, по-батькові, посада) у присутності представника(</w:t>
      </w:r>
      <w:r>
        <w:rPr>
          <w:rFonts w:ascii="Times New Roman" w:hAnsi="Times New Roman" w:cs="Times New Roman"/>
          <w:sz w:val="24"/>
          <w:szCs w:val="24"/>
        </w:rPr>
        <w:t xml:space="preserve">ів</w:t>
      </w:r>
      <w:r>
        <w:rPr>
          <w:rFonts w:ascii="Times New Roman" w:hAnsi="Times New Roman" w:cs="Times New Roman"/>
          <w:sz w:val="24"/>
          <w:szCs w:val="24"/>
        </w:rPr>
        <w:t xml:space="preserve">) Замовника (прізвище, ім’я, по-батькові, посада) ознайомився(</w:t>
      </w:r>
      <w:r>
        <w:rPr>
          <w:rFonts w:ascii="Times New Roman" w:hAnsi="Times New Roman" w:cs="Times New Roman"/>
          <w:sz w:val="24"/>
          <w:szCs w:val="24"/>
        </w:rPr>
        <w:t xml:space="preserve">лась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і зобов’язується, що у разі обрання учасника переможцем процедури закупівлі, при постачанні товару продукція учасника буде відповідати технічним, якісним та кількісним характеристикам предмету закупівлі та замірам, що провів Учасник. Дану довідку просимо </w:t>
      </w:r>
      <w:r>
        <w:rPr>
          <w:rFonts w:ascii="Times New Roman" w:hAnsi="Times New Roman" w:cs="Times New Roman"/>
          <w:sz w:val="24"/>
          <w:szCs w:val="24"/>
        </w:rPr>
        <w:t xml:space="preserve">дозвантажити</w:t>
      </w:r>
      <w:r>
        <w:rPr>
          <w:rFonts w:ascii="Times New Roman" w:hAnsi="Times New Roman" w:cs="Times New Roman"/>
          <w:sz w:val="24"/>
          <w:szCs w:val="24"/>
        </w:rPr>
        <w:t xml:space="preserve"> у тендерну пропозицію Учасника.</w:t>
      </w:r>
      <w:r/>
    </w:p>
    <w:p>
      <w:pPr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 xml:space="preserve">8. Надати у складі тендерної документації копії діючих сертифікати ISO 9001:2018; ISO 4501:2019; ISO 28000:2008; ISO 14001:2015 та Висновку державної санітарно-епідеміологічної експертизи на меблі.</w:t>
      </w:r>
      <w:r/>
    </w:p>
    <w:p>
      <w:pPr>
        <w:ind w:left="14" w:firstLine="538"/>
        <w:jc w:val="both"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У разі, якщо характеристики товару, що пропонується Учасником до постачання, відрізняються від характеристик, які вимагаються Замовником, такий учасник у складі тендерної пропозиції надає таблицю відповідності за нижченаведеною формою.</w:t>
      </w:r>
      <w:r/>
    </w:p>
    <w:p>
      <w:pPr>
        <w:contextualSpacing/>
        <w:ind w:left="14" w:firstLine="538"/>
        <w:jc w:val="center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Таблиця відповідності</w:t>
      </w:r>
      <w:r/>
    </w:p>
    <w:p>
      <w:pPr>
        <w:contextualSpacing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</w:r>
      <w:r/>
    </w:p>
    <w:tbl>
      <w:tblPr>
        <w:tblpPr w:horzAnchor="margin" w:tblpXSpec="left" w:vertAnchor="text" w:tblpY="-62" w:leftFromText="180" w:topFromText="0" w:rightFromText="180" w:bottomFromText="0"/>
        <w:tblW w:w="100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97"/>
        <w:gridCol w:w="2928"/>
        <w:gridCol w:w="3163"/>
        <w:gridCol w:w="2943"/>
      </w:tblGrid>
      <w:tr>
        <w:trPr/>
        <w:tc>
          <w:tcPr>
            <w:tcW w:w="520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№ з/п</w:t>
            </w:r>
            <w:r/>
          </w:p>
        </w:tc>
        <w:tc>
          <w:tcPr>
            <w:tcW w:w="3000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Характеристика</w:t>
            </w:r>
            <w:r/>
          </w:p>
        </w:tc>
        <w:tc>
          <w:tcPr>
            <w:tcW w:w="3396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Опис технічних вимог, які визначені Замовником</w:t>
            </w:r>
            <w:r/>
          </w:p>
        </w:tc>
        <w:tc>
          <w:tcPr>
            <w:tcW w:w="3115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Опис технічних вимог, які  пропонуються Учасником</w:t>
            </w:r>
            <w:r/>
          </w:p>
        </w:tc>
      </w:tr>
    </w:tbl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Товар повинен відповідати вимогам: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Закону України від 14.08.2014р. № 1644-VІІ «Про санкції»,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Указу Президента України від 15.05.2017р. № 133/2017 «Про рішення Ради національної безпеки і оборони України від 28 квітня 2017 року «Про застосування персональних спеціальних економічних та інших обмежувальних заходів (санкцій)»,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Постанови КМУ від 16.12.2015р. № 1035 «Про обмеження поставок окремих товарів(робіт, послуг) з тимчасово окупованої території на іншу територію України та/або з іншої території України на тимчасово окуповану територію»,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п/п. 4 п.2 частини першої Розпорядження Кабінету Міністрів України від 11.09.2014 р. №829-р «Про пропозиції щодо застосування персональних спеціальних економічних та інших обмежувальних заходів», згідно з якими заборонено здійснення державних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закупівель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товарів, робіт і послуг у юридичних осіб - резидентів Російської Федерації державної форми власності та юридичних осіб, частка статутного капіталу яких перебуває у власності Російської Федерації, а та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кож у інших суб’єктів господарювання, що здійснюють продаж товарів, робіт і послуг походженням з Російської Федерації, крім випадків, коли заміщення таких предметів закупівлі іншими неможливе, що підтверджено Міністерством економічного розвитку і торгівлі.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У разі якщо товар не відповідає технічним вимогам Замовника або Учасник не в змозі виконати умови поставки, які визначені Замовником, Пропозиція відхиляється.</w:t>
      </w:r>
      <w:r/>
    </w:p>
    <w:p>
      <w:pPr>
        <w:pStyle w:val="690"/>
        <w:ind w:left="0" w:firstLine="567"/>
        <w:jc w:val="center"/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СПЕЦИФІКАЦІЯ:</w:t>
      </w:r>
      <w:r/>
    </w:p>
    <w:p>
      <w:pPr>
        <w:pStyle w:val="690"/>
        <w:ind w:left="0" w:firstLine="567"/>
        <w:jc w:val="center"/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r>
      <w:r/>
    </w:p>
    <w:p>
      <w:pPr>
        <w:pStyle w:val="690"/>
        <w:numPr>
          <w:ilvl w:val="0"/>
          <w:numId w:val="21"/>
        </w:num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/>
      <w:bookmarkStart w:id="1" w:name="_Hlk147505208"/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Комплект 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меблів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кабінет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 № 218 </w:t>
      </w:r>
      <w:bookmarkEnd w:id="1"/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bCs/>
          <w:smallCap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 xml:space="preserve">Робоча станція на одну особу із приставкою та тумбою </w:t>
      </w:r>
      <w:r>
        <w:rPr>
          <w:rFonts w:ascii="Times New Roman" w:hAnsi="Times New Roman" w:cs="Times New Roman"/>
          <w:bCs/>
          <w:smallCaps/>
          <w:color w:val="000000"/>
          <w:sz w:val="24"/>
          <w:szCs w:val="24"/>
        </w:rPr>
        <w:t xml:space="preserve">(права сторона)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2000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2600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1715 BS Береза (1 сорт)  2800х2070х18мм.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7045 SU Сатин (1 сорт)  2800х2070х18мм. </w:t>
      </w:r>
      <w:r>
        <w:rPr>
          <w:rFonts w:ascii="Times New Roman" w:hAnsi="Times New Roman" w:cs="Times New Roman"/>
          <w:sz w:val="24"/>
          <w:szCs w:val="24"/>
        </w:rPr>
        <w:br/>
        <w:t xml:space="preserve">Ручка HEXI чорна L=192 мм - 20 м – 7 шт.</w:t>
      </w:r>
      <w:r>
        <w:rPr>
          <w:rFonts w:ascii="Times New Roman" w:hAnsi="Times New Roman" w:cs="Times New Roman"/>
          <w:sz w:val="24"/>
          <w:szCs w:val="24"/>
        </w:rPr>
        <w:br/>
        <w:t xml:space="preserve">Напрямна телескопічна з </w:t>
      </w:r>
      <w:r>
        <w:rPr>
          <w:rFonts w:ascii="Times New Roman" w:hAnsi="Times New Roman" w:cs="Times New Roman"/>
          <w:sz w:val="24"/>
          <w:szCs w:val="24"/>
        </w:rPr>
        <w:t xml:space="preserve">дотягом</w:t>
      </w:r>
      <w:r>
        <w:rPr>
          <w:rFonts w:ascii="Times New Roman" w:hAnsi="Times New Roman" w:cs="Times New Roman"/>
          <w:sz w:val="24"/>
          <w:szCs w:val="24"/>
        </w:rPr>
        <w:t xml:space="preserve"> – 4 шт.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</w:t>
      </w:r>
      <w:r>
        <w:rPr>
          <w:rFonts w:ascii="Times New Roman" w:hAnsi="Times New Roman" w:cs="Times New Roman"/>
          <w:sz w:val="24"/>
          <w:szCs w:val="24"/>
        </w:rPr>
        <w:t xml:space="preserve">доводчкиками</w:t>
      </w:r>
      <w:r>
        <w:rPr>
          <w:rFonts w:ascii="Times New Roman" w:hAnsi="Times New Roman" w:cs="Times New Roman"/>
          <w:sz w:val="24"/>
          <w:szCs w:val="24"/>
        </w:rPr>
        <w:t xml:space="preserve"> – 6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1637665</wp:posOffset>
                </wp:positionH>
                <wp:positionV relativeFrom="paragraph">
                  <wp:posOffset>146050</wp:posOffset>
                </wp:positionV>
                <wp:extent cx="4600575" cy="2430145"/>
                <wp:effectExtent l="0" t="0" r="9525" b="8255"/>
                <wp:wrapTight wrapText="bothSides">
                  <wp:wrapPolygon edited="1">
                    <wp:start x="0" y="0"/>
                    <wp:lineTo x="0" y="21504"/>
                    <wp:lineTo x="21555" y="21504"/>
                    <wp:lineTo x="21555" y="0"/>
                    <wp:lineTo x="0" y="0"/>
                  </wp:wrapPolygon>
                </wp:wrapTight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600575" cy="243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9264;o:allowoverlap:true;o:allowincell:true;mso-position-horizontal-relative:page;margin-left:128.9pt;mso-position-horizontal:absolute;mso-position-vertical-relative:text;margin-top:11.5pt;mso-position-vertical:absolute;width:362.2pt;height:191.3pt;mso-wrap-distance-left:9.0pt;mso-wrap-distance-top:0.0pt;mso-wrap-distance-right:9.0pt;mso-wrap-distance-bottom:0.0pt;" wrapcoords="0 0 0 99556 99792 99556 99792 0 0 0" stroked="f">
                <v:path textboxrect="0,0,0,0"/>
                <w10:wrap type="tight"/>
                <v:imagedata r:id="rId13" o:title=""/>
              </v:shape>
            </w:pict>
          </mc:Fallback>
        </mc:AlternateContent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1619250</wp:posOffset>
                </wp:positionH>
                <wp:positionV relativeFrom="paragraph">
                  <wp:posOffset>174625</wp:posOffset>
                </wp:positionV>
                <wp:extent cx="4895850" cy="2799715"/>
                <wp:effectExtent l="0" t="0" r="0" b="635"/>
                <wp:wrapTight wrapText="bothSides">
                  <wp:wrapPolygon edited="1">
                    <wp:start x="0" y="0"/>
                    <wp:lineTo x="0" y="21458"/>
                    <wp:lineTo x="21516" y="21458"/>
                    <wp:lineTo x="21516" y="0"/>
                    <wp:lineTo x="0" y="0"/>
                  </wp:wrapPolygon>
                </wp:wrapTight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15574" r="0" b="0"/>
                        <a:stretch/>
                      </pic:blipFill>
                      <pic:spPr bwMode="auto">
                        <a:xfrm>
                          <a:off x="0" y="0"/>
                          <a:ext cx="4895850" cy="279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60288;o:allowoverlap:true;o:allowincell:true;mso-position-horizontal-relative:page;margin-left:127.5pt;mso-position-horizontal:absolute;mso-position-vertical-relative:text;margin-top:13.8pt;mso-position-vertical:absolute;width:385.5pt;height:220.4pt;mso-wrap-distance-left:9.0pt;mso-wrap-distance-top:0.0pt;mso-wrap-distance-right:9.0pt;mso-wrap-distance-bottom:0.0pt;" wrapcoords="0 0 0 99343 99611 99343 99611 0 0 0" stroked="f">
                <v:path textboxrect="0,0,0,0"/>
                <w10:wrap type="tight"/>
                <v:imagedata r:id="rId14" o:title=""/>
              </v:shape>
            </w:pict>
          </mc:Fallback>
        </mc:AlternateContent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Дворівнева полиця підвісна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(права сторона)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:</w:t>
      </w:r>
      <w:r>
        <w:rPr>
          <w:rFonts w:ascii="Times New Roman" w:hAnsi="Times New Roman" w:eastAsia="Calibri" w:cs="Times New Roman"/>
          <w:b/>
          <w:sz w:val="24"/>
          <w:szCs w:val="24"/>
        </w:rPr>
        <w:br/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Кількість – 1 шт.</w:t>
      </w:r>
      <w:r>
        <w:rPr>
          <w:rFonts w:ascii="Times New Roman" w:hAnsi="Times New Roman" w:eastAsia="Calibri" w:cs="Times New Roman"/>
          <w:bCs/>
          <w:sz w:val="24"/>
          <w:szCs w:val="24"/>
        </w:rPr>
        <w:br/>
        <w:t xml:space="preserve">Ширина – 1550 мм.</w:t>
      </w:r>
      <w:r>
        <w:rPr>
          <w:rFonts w:ascii="Times New Roman" w:hAnsi="Times New Roman" w:eastAsia="Calibri" w:cs="Times New Roman"/>
          <w:bCs/>
          <w:sz w:val="24"/>
          <w:szCs w:val="24"/>
        </w:rPr>
        <w:br/>
        <w:t xml:space="preserve">Глибина – 280 мм.</w:t>
      </w:r>
      <w:r>
        <w:rPr>
          <w:rFonts w:ascii="Times New Roman" w:hAnsi="Times New Roman" w:eastAsia="Calibri" w:cs="Times New Roman"/>
          <w:bCs/>
          <w:sz w:val="24"/>
          <w:szCs w:val="24"/>
        </w:rPr>
        <w:br/>
        <w:t xml:space="preserve">Висота – 700 мм.</w:t>
      </w:r>
      <w:r/>
    </w:p>
    <w:p>
      <w:pPr>
        <w:spacing w:line="240" w:lineRule="auto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38646" cy="1600835"/>
                <wp:effectExtent l="0" t="0" r="635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17596" r="0" b="15251"/>
                        <a:stretch/>
                      </pic:blipFill>
                      <pic:spPr bwMode="auto">
                        <a:xfrm>
                          <a:off x="0" y="0"/>
                          <a:ext cx="4545010" cy="16391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49.5pt;height:126.0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Стелаж-шафа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(для 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документів+гардероб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)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2300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1715 BS Береза (1 сорт)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7045 SU Сатин (1 сорт)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5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</w:t>
      </w:r>
      <w:r>
        <w:rPr>
          <w:rFonts w:ascii="Times New Roman" w:hAnsi="Times New Roman" w:cs="Times New Roman"/>
          <w:sz w:val="24"/>
          <w:szCs w:val="24"/>
        </w:rPr>
        <w:t xml:space="preserve">доводчкиками</w:t>
      </w:r>
      <w:r>
        <w:rPr>
          <w:rFonts w:ascii="Times New Roman" w:hAnsi="Times New Roman" w:cs="Times New Roman"/>
          <w:sz w:val="24"/>
          <w:szCs w:val="24"/>
        </w:rPr>
        <w:t xml:space="preserve"> – 20 шт.</w:t>
      </w:r>
      <w:r>
        <w:rPr>
          <w:rFonts w:ascii="Times New Roman" w:hAnsi="Times New Roman" w:cs="Times New Roman"/>
          <w:sz w:val="24"/>
          <w:szCs w:val="24"/>
        </w:rPr>
        <w:br/>
        <w:t xml:space="preserve">Труба для одягу металева -1 шт.</w:t>
      </w:r>
      <w:r>
        <w:rPr>
          <w:rFonts w:ascii="Times New Roman" w:hAnsi="Times New Roman" w:cs="Times New Roman"/>
          <w:sz w:val="24"/>
          <w:szCs w:val="24"/>
        </w:rPr>
        <w:br/>
        <w:t xml:space="preserve">Фасади скляні з алюмінієвим профілем: 2 шт.</w:t>
      </w:r>
      <w:r/>
    </w:p>
    <w:p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/>
    </w:p>
    <w:p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5212715" cy="4678680"/>
                <wp:effectExtent l="0" t="0" r="6985" b="7620"/>
                <wp:wrapNone/>
                <wp:docPr id="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212715" cy="4678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312;o:allowoverlap:true;o:allowincell:true;mso-position-horizontal-relative:margin;mso-position-horizontal:left;mso-position-vertical-relative:text;margin-top:0.8pt;mso-position-vertical:absolute;width:410.4pt;height:368.4pt;mso-wrap-distance-left:9.0pt;mso-wrap-distance-top:0.0pt;mso-wrap-distance-right:9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Пенал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700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450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1715 BS Береза (1 сорт)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7045 SU Сатин (1 сорт)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2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</w:t>
      </w:r>
      <w:r>
        <w:rPr>
          <w:rFonts w:ascii="Times New Roman" w:hAnsi="Times New Roman" w:cs="Times New Roman"/>
          <w:sz w:val="24"/>
          <w:szCs w:val="24"/>
        </w:rPr>
        <w:t xml:space="preserve">доводчкиками</w:t>
      </w:r>
      <w:r>
        <w:rPr>
          <w:rFonts w:ascii="Times New Roman" w:hAnsi="Times New Roman" w:cs="Times New Roman"/>
          <w:sz w:val="24"/>
          <w:szCs w:val="24"/>
        </w:rPr>
        <w:t xml:space="preserve"> – 10 шт.</w:t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98382" cy="3631910"/>
                <wp:effectExtent l="0" t="0" r="0" b="6985"/>
                <wp:docPr id="5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045230" cy="3688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36.1pt;height:286.0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spacing w:line="240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Журнальний столик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600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450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Скляна панель- гартоване скло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Підстільна</w:t>
      </w:r>
      <w:r>
        <w:rPr>
          <w:rFonts w:ascii="Times New Roman" w:hAnsi="Times New Roman" w:cs="Times New Roman"/>
          <w:sz w:val="24"/>
          <w:szCs w:val="24"/>
        </w:rPr>
        <w:t xml:space="preserve"> полиця -метал.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Панель:- ДСП, </w:t>
      </w:r>
      <w:r>
        <w:rPr>
          <w:rFonts w:ascii="Times New Roman" w:hAnsi="Times New Roman" w:cs="Times New Roman"/>
          <w:sz w:val="24"/>
          <w:szCs w:val="24"/>
        </w:rPr>
        <w:t xml:space="preserve">Меламінова</w:t>
      </w:r>
      <w:r>
        <w:rPr>
          <w:rFonts w:ascii="Times New Roman" w:hAnsi="Times New Roman" w:cs="Times New Roman"/>
          <w:sz w:val="24"/>
          <w:szCs w:val="24"/>
        </w:rPr>
        <w:t xml:space="preserve"> плівка, Пластикова крайка</w:t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2638003" cy="1905000"/>
                <wp:effectExtent l="0" t="0" r="0" b="0"/>
                <wp:wrapNone/>
                <wp:docPr id="6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0026714_-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6930" r="0" b="8316"/>
                        <a:stretch/>
                      </pic:blipFill>
                      <pic:spPr bwMode="auto">
                        <a:xfrm>
                          <a:off x="0" y="0"/>
                          <a:ext cx="2638003" cy="1905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2336;o:allowoverlap:true;o:allowincell:true;mso-position-horizontal-relative:margin;mso-position-horizontal:left;mso-position-vertical-relative:text;margin-top:2.4pt;mso-position-vertical:absolute;width:207.7pt;height:150.0pt;mso-wrap-distance-left:9.0pt;mso-wrap-distance-top:0.0pt;mso-wrap-distance-right:9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Кутова робоча станція на одну особу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1800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1200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1715 BS Береза (1 сорт)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7045 SU Сатин (1 сорт)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5 шт.</w:t>
      </w:r>
      <w:r>
        <w:rPr>
          <w:rFonts w:ascii="Times New Roman" w:hAnsi="Times New Roman" w:cs="Times New Roman"/>
          <w:sz w:val="24"/>
          <w:szCs w:val="24"/>
        </w:rPr>
        <w:br/>
        <w:t xml:space="preserve">Решітка холодильник – 1 шт.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</w:t>
      </w:r>
      <w:r>
        <w:rPr>
          <w:rFonts w:ascii="Times New Roman" w:hAnsi="Times New Roman" w:cs="Times New Roman"/>
          <w:sz w:val="24"/>
          <w:szCs w:val="24"/>
        </w:rPr>
        <w:t xml:space="preserve">доводчкиками</w:t>
      </w:r>
      <w:r>
        <w:rPr>
          <w:rFonts w:ascii="Times New Roman" w:hAnsi="Times New Roman" w:cs="Times New Roman"/>
          <w:sz w:val="24"/>
          <w:szCs w:val="24"/>
        </w:rPr>
        <w:t xml:space="preserve"> – 6 шт.</w:t>
      </w:r>
      <w:r>
        <w:rPr>
          <w:rFonts w:ascii="Times New Roman" w:hAnsi="Times New Roman" w:cs="Times New Roman"/>
          <w:sz w:val="24"/>
          <w:szCs w:val="24"/>
        </w:rPr>
        <w:br/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0842" cy="2800350"/>
                <wp:effectExtent l="0" t="0" r="5715" b="0"/>
                <wp:docPr id="7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03087" cy="2814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7.1pt;height:220.5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Тумба мобільна офісна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450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700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1715 BS Береза (1 сорт)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7045 SU Сатин (1 сорт)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4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Напрямні роликові – 4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-135890</wp:posOffset>
                </wp:positionV>
                <wp:extent cx="2114550" cy="2888892"/>
                <wp:effectExtent l="0" t="0" r="0" b="6985"/>
                <wp:wrapNone/>
                <wp:docPr id="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21753" t="14908" r="34120" b="6921"/>
                        <a:stretch/>
                      </pic:blipFill>
                      <pic:spPr bwMode="auto">
                        <a:xfrm>
                          <a:off x="0" y="0"/>
                          <a:ext cx="2114550" cy="28888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63360;o:allowoverlap:true;o:allowincell:true;mso-position-horizontal-relative:margin;margin-left:-12.0pt;mso-position-horizontal:absolute;mso-position-vertical-relative:text;margin-top:-10.7pt;mso-position-vertical:absolute;width:166.5pt;height:227.5pt;mso-wrap-distance-left:9.0pt;mso-wrap-distance-top:0.0pt;mso-wrap-distance-right:9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Офісне крісло</w:t>
      </w:r>
      <w:r/>
    </w:p>
    <w:p>
      <w:pPr>
        <w:ind w:firstLine="567"/>
        <w:jc w:val="both"/>
        <w:spacing w:line="240" w:lineRule="auto"/>
        <w:tabs>
          <w:tab w:val="left" w:pos="-2268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</w:r>
      <w:r/>
    </w:p>
    <w:p>
      <w:pPr>
        <w:ind w:firstLine="567"/>
        <w:jc w:val="both"/>
        <w:spacing w:line="240" w:lineRule="auto"/>
        <w:tabs>
          <w:tab w:val="left" w:pos="-2268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</w:r>
      <w:r/>
    </w:p>
    <w:p>
      <w:pPr>
        <w:ind w:firstLine="567"/>
        <w:jc w:val="both"/>
        <w:spacing w:line="240" w:lineRule="auto"/>
        <w:tabs>
          <w:tab w:val="left" w:pos="-2268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</w:r>
      <w:r/>
    </w:p>
    <w:p>
      <w:pPr>
        <w:ind w:firstLine="567"/>
        <w:jc w:val="both"/>
        <w:spacing w:line="240" w:lineRule="auto"/>
        <w:tabs>
          <w:tab w:val="left" w:pos="-2268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</w:r>
      <w:r/>
    </w:p>
    <w:p>
      <w:pPr>
        <w:ind w:firstLine="567"/>
        <w:jc w:val="both"/>
        <w:spacing w:line="240" w:lineRule="auto"/>
        <w:tabs>
          <w:tab w:val="left" w:pos="-2268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</w:r>
      <w:r/>
    </w:p>
    <w:p>
      <w:pPr>
        <w:ind w:firstLine="567"/>
        <w:jc w:val="both"/>
        <w:spacing w:line="240" w:lineRule="auto"/>
        <w:tabs>
          <w:tab w:val="left" w:pos="-2268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</w:r>
      <w:r/>
    </w:p>
    <w:p>
      <w:pPr>
        <w:pStyle w:val="690"/>
        <w:numPr>
          <w:ilvl w:val="0"/>
          <w:numId w:val="21"/>
        </w:num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Комплект 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меблів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 І поверх 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оперативний</w:t>
      </w: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  <w:t xml:space="preserve"> зал</w:t>
      </w:r>
      <w:r/>
    </w:p>
    <w:p>
      <w:pPr>
        <w:pStyle w:val="690"/>
        <w:spacing w:line="240" w:lineRule="auto"/>
        <w:shd w:val="clear" w:color="auto" w:fill="ffffff"/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mallCaps/>
          <w:color w:val="000000"/>
          <w:sz w:val="24"/>
          <w:szCs w:val="24"/>
          <w:u w:val="single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Робоча станція на одну особу з офісною мобільною тумбою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6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1400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850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0191 SU Холодний сірий 18мм </w:t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66440" cy="2530899"/>
                <wp:effectExtent l="0" t="0" r="0" b="3175"/>
                <wp:docPr id="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8980" t="12278" r="24792" b="12165"/>
                        <a:stretch/>
                      </pic:blipFill>
                      <pic:spPr bwMode="auto">
                        <a:xfrm>
                          <a:off x="0" y="0"/>
                          <a:ext cx="3356477" cy="26006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57.2pt;height:199.3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6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450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500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700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0191 SU Холодний сірий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</w:t>
      </w:r>
      <w:r>
        <w:rPr>
          <w:rFonts w:ascii="Times New Roman" w:hAnsi="Times New Roman" w:cs="Times New Roman"/>
          <w:sz w:val="24"/>
          <w:szCs w:val="24"/>
        </w:rPr>
        <w:t xml:space="preserve">Swiss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Krono</w:t>
      </w:r>
      <w:r>
        <w:rPr>
          <w:rFonts w:ascii="Times New Roman" w:hAnsi="Times New Roman" w:cs="Times New Roman"/>
          <w:sz w:val="24"/>
          <w:szCs w:val="24"/>
        </w:rPr>
        <w:t xml:space="preserve"> 4435 VL Голубий Димчастий NEW 2800х2070х18 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4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Напрямні роликові – 4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28875" cy="2809875"/>
                <wp:effectExtent l="0" t="0" r="9525" b="9525"/>
                <wp:docPr id="1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22771" t="25971" r="36337" b="9646"/>
                        <a:stretch/>
                      </pic:blipFill>
                      <pic:spPr bwMode="auto">
                        <a:xfrm>
                          <a:off x="0" y="0"/>
                          <a:ext cx="2428875" cy="2809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91.2pt;height:221.2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Офісна тумба з двома дверцятами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800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450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800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0191 SU Холодний сірий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</w:t>
      </w:r>
      <w:r>
        <w:rPr>
          <w:rFonts w:ascii="Times New Roman" w:hAnsi="Times New Roman" w:cs="Times New Roman"/>
          <w:sz w:val="24"/>
          <w:szCs w:val="24"/>
        </w:rPr>
        <w:t xml:space="preserve">Swiss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Krono</w:t>
      </w:r>
      <w:r>
        <w:rPr>
          <w:rFonts w:ascii="Times New Roman" w:hAnsi="Times New Roman" w:cs="Times New Roman"/>
          <w:sz w:val="24"/>
          <w:szCs w:val="24"/>
        </w:rPr>
        <w:t xml:space="preserve"> 4435 VL Голубий Димчастий NEW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2 шт.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16772" cy="2843346"/>
                <wp:effectExtent l="0" t="0" r="3175" b="0"/>
                <wp:docPr id="11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1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21809" t="22036" r="27195" b="7926"/>
                        <a:stretch/>
                      </pic:blipFill>
                      <pic:spPr bwMode="auto">
                        <a:xfrm>
                          <a:off x="0" y="0"/>
                          <a:ext cx="2828481" cy="28551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1.8pt;height:223.9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Стелаж-шафа з відкритими полицями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1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1600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450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2100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0191 SU Холодний сірий 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Оброблення фасадів: ДСП лам. </w:t>
      </w:r>
      <w:r>
        <w:rPr>
          <w:rFonts w:ascii="Times New Roman" w:hAnsi="Times New Roman" w:cs="Times New Roman"/>
          <w:sz w:val="24"/>
          <w:szCs w:val="24"/>
        </w:rPr>
        <w:t xml:space="preserve">Swiss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Krono</w:t>
      </w:r>
      <w:r>
        <w:rPr>
          <w:rFonts w:ascii="Times New Roman" w:hAnsi="Times New Roman" w:cs="Times New Roman"/>
          <w:sz w:val="24"/>
          <w:szCs w:val="24"/>
        </w:rPr>
        <w:t xml:space="preserve"> 4435 VL Голубий Димчастий NEW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Ручка HEXI чорна L=192 мм - 20 м – 4 шт. </w:t>
      </w:r>
      <w:r>
        <w:rPr>
          <w:rFonts w:ascii="Times New Roman" w:hAnsi="Times New Roman" w:cs="Times New Roman"/>
          <w:sz w:val="24"/>
          <w:szCs w:val="24"/>
        </w:rPr>
        <w:br/>
        <w:t xml:space="preserve">Петлі з </w:t>
      </w:r>
      <w:r>
        <w:rPr>
          <w:rFonts w:ascii="Times New Roman" w:hAnsi="Times New Roman" w:cs="Times New Roman"/>
          <w:sz w:val="24"/>
          <w:szCs w:val="24"/>
        </w:rPr>
        <w:t xml:space="preserve">доводчкиками</w:t>
      </w:r>
      <w:r>
        <w:rPr>
          <w:rFonts w:ascii="Times New Roman" w:hAnsi="Times New Roman" w:cs="Times New Roman"/>
          <w:sz w:val="24"/>
          <w:szCs w:val="24"/>
        </w:rPr>
        <w:t xml:space="preserve"> – 8 шт.</w:t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eastAsia="Calibri" w:cs="Times New Roman"/>
          <w:b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16835" cy="2942896"/>
                <wp:effectExtent l="0" t="0" r="0" b="0"/>
                <wp:docPr id="1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15876" t="7524" r="19179" b="4299"/>
                        <a:stretch/>
                      </pic:blipFill>
                      <pic:spPr bwMode="auto">
                        <a:xfrm>
                          <a:off x="0" y="0"/>
                          <a:ext cx="2664793" cy="29968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06.0pt;height:231.7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pStyle w:val="690"/>
        <w:numPr>
          <w:ilvl w:val="0"/>
          <w:numId w:val="21"/>
        </w:numPr>
        <w:jc w:val="center"/>
        <w:spacing w:after="0" w:line="240" w:lineRule="auto"/>
        <w:shd w:val="clear" w:color="auto" w:fill="ffffff"/>
        <w:widowControl w:val="off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КОМПЛЕКТ РОБОЧИХ СТАНЦІЙ НА ОДНУ ОСОБУ</w:t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Робоча станція 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трансформер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 на одну особу</w:t>
      </w:r>
      <w:r/>
    </w:p>
    <w:p>
      <w:pPr>
        <w:spacing w:line="240" w:lineRule="auto"/>
        <w:shd w:val="clear" w:color="auto" w:fill="ffffff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– 3 шт.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– 1200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Глибина – 600 мм.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Висота – 750 мм.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Матеріал: ДСП лам.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0191 SU Холодний сірий 2800х2070х18мм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Ніжки – Сталь. </w:t>
      </w:r>
      <w:r/>
    </w:p>
    <w:p>
      <w:pPr>
        <w:spacing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Регульована стільниця по висоті </w:t>
      </w:r>
      <w:r/>
    </w:p>
    <w:p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-109220</wp:posOffset>
                </wp:positionH>
                <wp:positionV relativeFrom="paragraph">
                  <wp:posOffset>635</wp:posOffset>
                </wp:positionV>
                <wp:extent cx="3590925" cy="1871345"/>
                <wp:effectExtent l="0" t="0" r="9525" b="0"/>
                <wp:wrapNone/>
                <wp:docPr id="1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590925" cy="187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64384;o:allowoverlap:true;o:allowincell:true;mso-position-horizontal-relative:margin;margin-left:-8.6pt;mso-position-horizontal:absolute;mso-position-vertical-relative:text;margin-top:0.0pt;mso-position-vertical:absolute;width:282.8pt;height:147.3pt;mso-wrap-distance-left:9.0pt;mso-wrap-distance-top:0.0pt;mso-wrap-distance-right:9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разі, якщо у цій тендерній документації (у тому числі у технічній специфікації) міститься посилання:</w:t>
      </w:r>
      <w:r/>
    </w:p>
    <w:p>
      <w:pPr>
        <w:ind w:firstLine="263"/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стандартні характеристики, технічні регламенти та умови, вимоги, умовні позначення та термінологію, пов’язані з товарами, роботами чи послугами, що закуповуються, передбачені існуючими міжнародними, європейським</w:t>
      </w:r>
      <w:r>
        <w:rPr>
          <w:rFonts w:ascii="Times New Roman" w:hAnsi="Times New Roman" w:cs="Times New Roman"/>
          <w:i/>
          <w:sz w:val="24"/>
          <w:szCs w:val="24"/>
        </w:rPr>
        <w:t xml:space="preserve">и стандартами, іншими спільними технічними європейськими нормами, іншими технічними еталонними системами, визнаними європейськими органами зі стандартизації або національними стандартами, нормами та правилами – вважати, що міститься вираз «або еквівалент»;</w:t>
      </w:r>
      <w:r/>
    </w:p>
    <w:p>
      <w:pPr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ко</w:t>
      </w:r>
      <w:r>
        <w:rPr>
          <w:rFonts w:ascii="Times New Roman" w:hAnsi="Times New Roman" w:cs="Times New Roman"/>
          <w:i/>
          <w:sz w:val="24"/>
          <w:szCs w:val="24"/>
        </w:rPr>
        <w:t xml:space="preserve">нкретні марку чи виробника або на конкретний процес, що характеризує продукт чи послугу певного суб’єкта господарювання, чи на торгові марки, патенти, типи або конкретне місце походження чи спосіб виробництва – вважати, що міститься вираз «або еквівалент».</w:t>
      </w:r>
      <w:r/>
    </w:p>
    <w:p>
      <w:pPr>
        <w:ind w:firstLine="567"/>
        <w:jc w:val="bot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 випадку надання учасником еквіваленту він має надати порівняльну таблицю запропонованих товарів з товарами, які вимагаються Замовником. Якщо Учасник пропонує товар, технічні характеристики якого відрізняються від наведених вище, він повинен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обов’язково надати порівняльну таблицю щодо відповідності технічних характеристик запропонованого товару наведеним Замовником характеристикам. Товар має бути з технічними та якісними характеристиками рівноцінними, або покращеними, ніж визначені Замовником.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5. Обґрунтування розміру бюджетного призначення: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розмір бюджетного призначення визначено Законом України «Про Державний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бюджет України на 2023 рік» за КПКВК 1001050 «Реалізація державної політики у сфері внутрішніх справ, забезпечення виконання завдань і функцій органів, установ та закладів Міністерства внутрішніх справ України» відповідно до бюджетного запиту на 2023 рік.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6. Очікувана вартість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313 310,00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грн. 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триста тринадцять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тисяч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триста десять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грив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коп.) з ПДВ.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7. Обґрунтування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очікуваної вартості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Очікувана вартість визначена відповідно до частини 1 та 2 пункту 1 Розділу ІІІ «Методи визначення очікуваної вартості» Примірної методики визначення очікува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ної вартості предмета закупівлі затвердженої Наказом Міністерства розвитку економіки, торгівлі та сільського господарства України 18.02.2020 № 275 та розрахована, як середньоарифметичне значення масиву отриманих даних, що розраховується за такою формулою: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Цод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= (Ц1 +… +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Цк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 / К.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8. Процедура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Застосовується процедура відкритих торгів з особливостями.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1">
    <w:panose1 w:val="02020603050405020304"/>
  </w:font>
  <w:font w:name="Segoe UI">
    <w:panose1 w:val="020B0502040504020204"/>
  </w:font>
  <w:font w:name="Tms Rmn">
    <w:panose1 w:val="020B060303080402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6"/>
      <w:rPr>
        <w:sz w:val="8"/>
      </w:rPr>
    </w:pPr>
    <w:r>
      <w:rPr>
        <w:sz w:val="8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space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5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9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3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0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5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2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97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space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8">
    <w:multiLevelType w:val="hybridMultilevel"/>
    <w:lvl w:ilvl="0">
      <w:start w:val="900"/>
      <w:numFmt w:val="bullet"/>
      <w:isLgl w:val="false"/>
      <w:suff w:val="tab"/>
      <w:lvlText w:val="-"/>
      <w:lvlJc w:val="left"/>
      <w:pPr>
        <w:ind w:left="644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 w:cs="Times New Roman"/>
        <w:b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716" w:hanging="360"/>
      </w:pPr>
      <w:rPr>
        <w:rFonts w:hint="default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432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8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04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6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16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32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88" w:hanging="1440"/>
      </w:pPr>
      <w:rPr>
        <w:rFonts w:hint="default"/>
        <w:u w:val="none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ind w:left="583" w:hanging="405"/>
      </w:pPr>
      <w:rPr>
        <w:rFonts w:hint="default"/>
      </w:rPr>
    </w:lvl>
    <w:lvl w:ilvl="2">
      <w:start w:val="4"/>
      <w:numFmt w:val="decimal"/>
      <w:isLgl w:val="false"/>
      <w:suff w:val="space"/>
      <w:lvlText w:val="%1.%2.%3"/>
      <w:lvlJc w:val="left"/>
      <w:pPr>
        <w:ind w:left="1076" w:hanging="720"/>
      </w:pPr>
      <w:rPr>
        <w:rFonts w:hint="default"/>
        <w:i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254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432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97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2148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2686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864" w:hanging="144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12"/>
  </w:num>
  <w:num w:numId="5">
    <w:abstractNumId w:val="4"/>
  </w:num>
  <w:num w:numId="6">
    <w:abstractNumId w:val="16"/>
  </w:num>
  <w:num w:numId="7">
    <w:abstractNumId w:val="7"/>
  </w:num>
  <w:num w:numId="8">
    <w:abstractNumId w:val="18"/>
  </w:num>
  <w:num w:numId="9">
    <w:abstractNumId w:val="1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6"/>
  </w:num>
  <w:num w:numId="13">
    <w:abstractNumId w:val="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7"/>
  </w:num>
  <w:num w:numId="17">
    <w:abstractNumId w:val="0"/>
  </w:num>
  <w:num w:numId="18">
    <w:abstractNumId w:val="19"/>
  </w:num>
  <w:num w:numId="19">
    <w:abstractNumId w:val="13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85"/>
    <w:next w:val="685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87"/>
    <w:link w:val="12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687"/>
    <w:link w:val="686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85"/>
    <w:next w:val="685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87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85"/>
    <w:next w:val="685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87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85"/>
    <w:next w:val="685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87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85"/>
    <w:next w:val="685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87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85"/>
    <w:next w:val="685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87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85"/>
    <w:next w:val="685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87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85"/>
    <w:next w:val="685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87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685"/>
    <w:next w:val="685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87"/>
    <w:link w:val="33"/>
    <w:uiPriority w:val="10"/>
    <w:rPr>
      <w:sz w:val="48"/>
      <w:szCs w:val="48"/>
    </w:rPr>
  </w:style>
  <w:style w:type="paragraph" w:styleId="35">
    <w:name w:val="Subtitle"/>
    <w:basedOn w:val="685"/>
    <w:next w:val="685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87"/>
    <w:link w:val="35"/>
    <w:uiPriority w:val="11"/>
    <w:rPr>
      <w:sz w:val="24"/>
      <w:szCs w:val="24"/>
    </w:rPr>
  </w:style>
  <w:style w:type="paragraph" w:styleId="37">
    <w:name w:val="Quote"/>
    <w:basedOn w:val="685"/>
    <w:next w:val="685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85"/>
    <w:next w:val="685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85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687"/>
    <w:link w:val="41"/>
    <w:uiPriority w:val="99"/>
  </w:style>
  <w:style w:type="character" w:styleId="44">
    <w:name w:val="Footer Char"/>
    <w:basedOn w:val="687"/>
    <w:link w:val="696"/>
    <w:uiPriority w:val="99"/>
  </w:style>
  <w:style w:type="paragraph" w:styleId="45">
    <w:name w:val="Caption"/>
    <w:basedOn w:val="685"/>
    <w:next w:val="68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6"/>
    <w:uiPriority w:val="99"/>
  </w:style>
  <w:style w:type="table" w:styleId="48">
    <w:name w:val="Table Grid Light"/>
    <w:basedOn w:val="68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6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4">
    <w:name w:val="footnote text"/>
    <w:basedOn w:val="685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87"/>
    <w:uiPriority w:val="99"/>
    <w:unhideWhenUsed/>
    <w:rPr>
      <w:vertAlign w:val="superscript"/>
    </w:rPr>
  </w:style>
  <w:style w:type="paragraph" w:styleId="177">
    <w:name w:val="endnote text"/>
    <w:basedOn w:val="685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87"/>
    <w:uiPriority w:val="99"/>
    <w:semiHidden/>
    <w:unhideWhenUsed/>
    <w:rPr>
      <w:vertAlign w:val="superscript"/>
    </w:rPr>
  </w:style>
  <w:style w:type="paragraph" w:styleId="180">
    <w:name w:val="toc 1"/>
    <w:basedOn w:val="685"/>
    <w:next w:val="685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85"/>
    <w:next w:val="685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85"/>
    <w:next w:val="685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85"/>
    <w:next w:val="685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85"/>
    <w:next w:val="685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85"/>
    <w:next w:val="685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85"/>
    <w:next w:val="685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85"/>
    <w:next w:val="685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85"/>
    <w:next w:val="685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85"/>
    <w:next w:val="685"/>
    <w:uiPriority w:val="99"/>
    <w:unhideWhenUsed/>
    <w:pPr>
      <w:spacing w:after="0" w:afterAutospacing="0"/>
    </w:pPr>
  </w:style>
  <w:style w:type="paragraph" w:styleId="685" w:default="1">
    <w:name w:val="Normal"/>
    <w:qFormat/>
    <w:rPr>
      <w:lang w:val="uk-UA"/>
    </w:rPr>
  </w:style>
  <w:style w:type="paragraph" w:styleId="686">
    <w:name w:val="Heading 2"/>
    <w:basedOn w:val="685"/>
    <w:link w:val="705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uk-UA"/>
    </w:rPr>
  </w:style>
  <w:style w:type="character" w:styleId="687" w:default="1">
    <w:name w:val="Default Paragraph Font"/>
    <w:uiPriority w:val="1"/>
    <w:semiHidden/>
    <w:unhideWhenUsed/>
  </w:style>
  <w:style w:type="table" w:styleId="6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9" w:default="1">
    <w:name w:val="No List"/>
    <w:uiPriority w:val="99"/>
    <w:semiHidden/>
    <w:unhideWhenUsed/>
  </w:style>
  <w:style w:type="paragraph" w:styleId="690">
    <w:name w:val="List Paragraph"/>
    <w:basedOn w:val="685"/>
    <w:link w:val="691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Calibri"/>
      <w:lang w:val="ru-RU" w:eastAsia="zh-CN"/>
    </w:rPr>
  </w:style>
  <w:style w:type="character" w:styleId="691" w:customStyle="1">
    <w:name w:val="Абзац списку Знак"/>
    <w:link w:val="690"/>
    <w:uiPriority w:val="34"/>
    <w:rPr>
      <w:rFonts w:ascii="Calibri" w:hAnsi="Calibri" w:eastAsia="Calibri" w:cs="Calibri"/>
      <w:lang w:eastAsia="zh-CN"/>
    </w:rPr>
  </w:style>
  <w:style w:type="table" w:styleId="692">
    <w:name w:val="Table Grid"/>
    <w:basedOn w:val="688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93" w:customStyle="1">
    <w:name w:val="Сетка таблицы2"/>
    <w:basedOn w:val="688"/>
    <w:next w:val="692"/>
    <w:uiPriority w:val="39"/>
    <w:pPr>
      <w:spacing w:after="0" w:line="240" w:lineRule="auto"/>
    </w:pPr>
    <w:rPr>
      <w:rFonts w:ascii="Times New Roman" w:hAnsi="Times New Roman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94">
    <w:name w:val="Normal (Web)"/>
    <w:basedOn w:val="685"/>
    <w:link w:val="701"/>
    <w:unhideWhenUsed/>
    <w:qFormat/>
    <w:rPr>
      <w:rFonts w:ascii="Times New Roman" w:hAnsi="Times New Roman" w:cs="Times New Roman"/>
      <w:sz w:val="24"/>
      <w:szCs w:val="24"/>
    </w:rPr>
  </w:style>
  <w:style w:type="table" w:styleId="695" w:customStyle="1">
    <w:name w:val="Сетка таблицы1"/>
    <w:basedOn w:val="688"/>
    <w:next w:val="692"/>
    <w:uiPriority w:val="39"/>
    <w:pPr>
      <w:spacing w:after="0" w:line="240" w:lineRule="auto"/>
    </w:pPr>
    <w:rPr>
      <w:rFonts w:ascii="Times New Roman" w:hAnsi="Times New Roman"/>
      <w:sz w:val="2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96">
    <w:name w:val="Footer"/>
    <w:basedOn w:val="685"/>
    <w:link w:val="697"/>
    <w:uiPriority w:val="99"/>
    <w:unhideWhenUsed/>
    <w:pPr>
      <w:spacing w:after="0" w:line="240" w:lineRule="auto"/>
      <w:tabs>
        <w:tab w:val="center" w:pos="4819" w:leader="none"/>
        <w:tab w:val="right" w:pos="9639" w:leader="none"/>
      </w:tabs>
    </w:pPr>
    <w:rPr>
      <w:rFonts w:ascii="Calibri" w:hAnsi="Calibri" w:eastAsia="Calibri" w:cs="Calibri"/>
      <w:lang w:val="ru-RU" w:eastAsia="zh-CN"/>
    </w:rPr>
  </w:style>
  <w:style w:type="character" w:styleId="697" w:customStyle="1">
    <w:name w:val="Нижній колонтитул Знак"/>
    <w:basedOn w:val="687"/>
    <w:link w:val="696"/>
    <w:uiPriority w:val="99"/>
    <w:rPr>
      <w:rFonts w:ascii="Calibri" w:hAnsi="Calibri" w:eastAsia="Calibri" w:cs="Calibri"/>
      <w:lang w:eastAsia="zh-CN"/>
    </w:rPr>
  </w:style>
  <w:style w:type="paragraph" w:styleId="698" w:customStyle="1">
    <w:name w:val="FR1"/>
    <w:pPr>
      <w:ind w:left="40"/>
      <w:jc w:val="both"/>
      <w:spacing w:after="0" w:line="240" w:lineRule="auto"/>
      <w:widowControl w:val="off"/>
    </w:pPr>
    <w:rPr>
      <w:rFonts w:ascii="Calibri" w:hAnsi="Calibri" w:eastAsia="Calibri" w:cs="Times New Roman"/>
      <w:sz w:val="20"/>
      <w:szCs w:val="20"/>
      <w:lang w:val="uk-UA"/>
    </w:rPr>
  </w:style>
  <w:style w:type="character" w:styleId="699">
    <w:name w:val="Hyperlink"/>
    <w:basedOn w:val="687"/>
    <w:uiPriority w:val="99"/>
    <w:unhideWhenUsed/>
    <w:rPr>
      <w:color w:val="0563c1" w:themeColor="hyperlink"/>
      <w:u w:val="single"/>
    </w:rPr>
  </w:style>
  <w:style w:type="character" w:styleId="700" w:customStyle="1">
    <w:name w:val="xfm_93972720"/>
    <w:basedOn w:val="687"/>
  </w:style>
  <w:style w:type="character" w:styleId="701" w:customStyle="1">
    <w:name w:val="Звичайний (веб) Знак"/>
    <w:link w:val="694"/>
    <w:qFormat/>
    <w:rPr>
      <w:rFonts w:ascii="Times New Roman" w:hAnsi="Times New Roman" w:cs="Times New Roman"/>
      <w:sz w:val="24"/>
      <w:szCs w:val="24"/>
      <w:lang w:val="uk-UA"/>
    </w:rPr>
  </w:style>
  <w:style w:type="paragraph" w:styleId="702">
    <w:name w:val="Body Text 2"/>
    <w:basedOn w:val="685"/>
    <w:link w:val="703"/>
    <w:pPr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/>
    </w:rPr>
  </w:style>
  <w:style w:type="character" w:styleId="703" w:customStyle="1">
    <w:name w:val="Основний текст 2 Знак"/>
    <w:basedOn w:val="687"/>
    <w:link w:val="702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704" w:customStyle="1">
    <w:name w:val="Default"/>
    <w:pPr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uk-UA" w:eastAsia="uk-UA"/>
    </w:rPr>
  </w:style>
  <w:style w:type="character" w:styleId="705" w:customStyle="1">
    <w:name w:val="Заголовок 2 Знак"/>
    <w:basedOn w:val="687"/>
    <w:link w:val="686"/>
    <w:uiPriority w:val="9"/>
    <w:rPr>
      <w:rFonts w:ascii="Times New Roman" w:hAnsi="Times New Roman" w:eastAsia="Times New Roman" w:cs="Times New Roman"/>
      <w:b/>
      <w:bCs/>
      <w:sz w:val="36"/>
      <w:szCs w:val="36"/>
      <w:lang w:val="uk-UA" w:eastAsia="uk-UA"/>
    </w:rPr>
  </w:style>
  <w:style w:type="paragraph" w:styleId="706">
    <w:name w:val="No Spacing"/>
    <w:link w:val="707"/>
    <w:uiPriority w:val="1"/>
    <w:qFormat/>
    <w:pPr>
      <w:spacing w:after="0" w:line="240" w:lineRule="auto"/>
    </w:pPr>
    <w:rPr>
      <w:rFonts w:ascii="Calibri" w:hAnsi="Calibri" w:eastAsia="Calibri" w:cs="Times New Roman"/>
      <w:lang w:val="uk-UA"/>
    </w:rPr>
  </w:style>
  <w:style w:type="character" w:styleId="707" w:customStyle="1">
    <w:name w:val="Без інтервалів Знак"/>
    <w:basedOn w:val="687"/>
    <w:link w:val="706"/>
    <w:uiPriority w:val="1"/>
    <w:rPr>
      <w:rFonts w:ascii="Calibri" w:hAnsi="Calibri" w:eastAsia="Calibri" w:cs="Times New Roman"/>
      <w:lang w:val="uk-UA"/>
    </w:rPr>
  </w:style>
  <w:style w:type="character" w:styleId="708" w:customStyle="1">
    <w:name w:val="Другое_"/>
    <w:basedOn w:val="687"/>
    <w:link w:val="709"/>
    <w:rPr>
      <w:rFonts w:ascii="Calibri" w:hAnsi="Calibri" w:eastAsia="Calibri" w:cs="Calibri"/>
      <w:sz w:val="20"/>
      <w:szCs w:val="20"/>
    </w:rPr>
  </w:style>
  <w:style w:type="paragraph" w:styleId="709" w:customStyle="1">
    <w:name w:val="Другое"/>
    <w:basedOn w:val="685"/>
    <w:link w:val="708"/>
    <w:qFormat/>
    <w:pPr>
      <w:spacing w:after="0" w:line="240" w:lineRule="auto"/>
      <w:widowControl w:val="off"/>
    </w:pPr>
    <w:rPr>
      <w:rFonts w:ascii="Calibri" w:hAnsi="Calibri" w:eastAsia="Calibri" w:cs="Calibri"/>
      <w:sz w:val="20"/>
      <w:szCs w:val="20"/>
      <w:lang w:val="ru-RU"/>
    </w:rPr>
  </w:style>
  <w:style w:type="paragraph" w:styleId="710" w:customStyle="1">
    <w:name w:val="Звичайний1"/>
    <w:qFormat/>
    <w:pPr>
      <w:spacing w:after="0" w:line="240" w:lineRule="auto"/>
    </w:pPr>
    <w:rPr>
      <w:rFonts w:ascii="Tms Rmn" w:hAnsi="Tms Rmn" w:eastAsia="Times New Roman" w:cs="Times New Roman"/>
      <w:sz w:val="20"/>
      <w:szCs w:val="20"/>
      <w:lang w:val="uk-UA" w:eastAsia="ru-RU" w:bidi="te-IN"/>
    </w:rPr>
  </w:style>
  <w:style w:type="character" w:styleId="711" w:customStyle="1">
    <w:name w:val="Основной текст (2)_"/>
    <w:basedOn w:val="687"/>
    <w:link w:val="712"/>
    <w:rPr>
      <w:rFonts w:eastAsia="Times New Roman" w:cs="Times New Roman"/>
      <w:shd w:val="clear" w:color="auto" w:fill="ffffff"/>
    </w:rPr>
  </w:style>
  <w:style w:type="paragraph" w:styleId="712" w:customStyle="1">
    <w:name w:val="Основной текст (2)"/>
    <w:basedOn w:val="685"/>
    <w:link w:val="711"/>
    <w:pPr>
      <w:ind w:hanging="700"/>
      <w:jc w:val="both"/>
      <w:spacing w:before="240" w:after="480" w:line="0" w:lineRule="atLeast"/>
      <w:shd w:val="clear" w:color="auto" w:fill="ffffff"/>
      <w:widowControl w:val="off"/>
    </w:pPr>
    <w:rPr>
      <w:rFonts w:eastAsia="Times New Roman" w:cs="Times New Roman"/>
      <w:lang w:val="ru-RU"/>
    </w:rPr>
  </w:style>
  <w:style w:type="character" w:styleId="713" w:customStyle="1">
    <w:name w:val="Текст у виносці Знак"/>
    <w:basedOn w:val="687"/>
    <w:link w:val="71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714">
    <w:name w:val="Balloon Text"/>
    <w:basedOn w:val="685"/>
    <w:link w:val="713"/>
    <w:uiPriority w:val="99"/>
    <w:semiHidden/>
    <w:unhideWhenUsed/>
    <w:pPr>
      <w:spacing w:after="0" w:line="240" w:lineRule="auto"/>
      <w:widowControl w:val="off"/>
    </w:pPr>
    <w:rPr>
      <w:rFonts w:ascii="Segoe UI" w:hAnsi="Segoe UI" w:eastAsia="Times New Roman" w:cs="Segoe UI"/>
      <w:sz w:val="18"/>
      <w:szCs w:val="18"/>
      <w:lang w:val="ru-RU" w:eastAsia="ru-RU"/>
    </w:rPr>
  </w:style>
  <w:style w:type="character" w:styleId="715" w:customStyle="1">
    <w:name w:val="Текст у виносці Знак1"/>
    <w:basedOn w:val="687"/>
    <w:uiPriority w:val="99"/>
    <w:semiHidden/>
    <w:rPr>
      <w:rFonts w:ascii="Segoe UI" w:hAnsi="Segoe UI" w:cs="Segoe UI"/>
      <w:sz w:val="18"/>
      <w:szCs w:val="18"/>
      <w:lang w:val="uk-UA"/>
    </w:rPr>
  </w:style>
  <w:style w:type="character" w:styleId="716" w:customStyle="1">
    <w:name w:val="T23"/>
    <w:rPr>
      <w:rFonts w:hint="default" w:ascii="Times New Roman" w:hAnsi="Times New Roman" w:eastAsia="Times New Roman1" w:cs="Times New Roman"/>
    </w:rPr>
  </w:style>
  <w:style w:type="character" w:styleId="717" w:customStyle="1">
    <w:name w:val="markedcontent"/>
    <w:basedOn w:val="687"/>
  </w:style>
  <w:style w:type="character" w:styleId="718" w:customStyle="1">
    <w:name w:val="docdata"/>
    <w:basedOn w:val="687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www.dzo.com.ua/tenders/17227183" TargetMode="External"/><Relationship Id="rId12" Type="http://schemas.openxmlformats.org/officeDocument/2006/relationships/hyperlink" Target="https://www.dzo.com.ua/tenders/17227183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jp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C65B9-6C17-4B00-95F1-8E64DA363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ВЮС 2</dc:creator>
  <cp:keywords/>
  <dc:description/>
  <cp:lastModifiedBy>Павріанідіс Аліса Віталіївна</cp:lastModifiedBy>
  <cp:revision>139</cp:revision>
  <dcterms:created xsi:type="dcterms:W3CDTF">2022-11-01T12:47:00Z</dcterms:created>
  <dcterms:modified xsi:type="dcterms:W3CDTF">2023-10-21T12:01:15Z</dcterms:modified>
</cp:coreProperties>
</file>