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9"/>
        <w:ind w:left="0"/>
        <w:rPr>
          <w:rFonts w:ascii="Times New Roman" w:hAnsi="Times New Roman"/>
          <w:bCs/>
          <w:color w:val="000000" w:themeColor="text1"/>
          <w:sz w:val="24"/>
          <w:szCs w:val="24"/>
          <w:shd w:val="clear" w:color="auto" w:fill="ffffff"/>
        </w:rPr>
      </w:pPr>
      <w:r>
        <w:rPr>
          <w:rFonts w:ascii="Times New Roman" w:hAnsi="Times New Roman"/>
          <w:b/>
          <w:sz w:val="24"/>
          <w:szCs w:val="24"/>
        </w:rPr>
        <w:t xml:space="preserve">2. Назва предм</w:t>
      </w:r>
      <w:r>
        <w:rPr>
          <w:rFonts w:ascii="Times New Roman" w:hAnsi="Times New Roman"/>
          <w:b/>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hAnsi="Times New Roman"/>
          <w:color w:val="000000"/>
          <w:sz w:val="24"/>
          <w:szCs w:val="24"/>
        </w:rPr>
        <w:t xml:space="preserve">Закупівля стін-перегородок зі скла із встановленням за ДК 021:2015: 44110000-4 Конструкційні матеріали (44112310-4 Стіни-перегородки)</w:t>
      </w:r>
      <w:r>
        <w:rPr>
          <w:rFonts w:ascii="Times New Roman" w:hAnsi="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010456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  </w:t>
      </w:r>
      <w:r>
        <w:rPr>
          <w:rFonts w:ascii="Times New Roman" w:hAnsi="Times New Roman"/>
          <w:color w:val="000000"/>
          <w:sz w:val="24"/>
          <w:szCs w:val="24"/>
        </w:rPr>
        <w:t xml:space="preserve">Закупівля стін-перегородок зі скла із встановленням</w:t>
      </w:r>
      <w:r>
        <w:rPr>
          <w:rFonts w:ascii="Times New Roman" w:hAnsi="Times New Roman"/>
          <w:color w:val="000000"/>
          <w:sz w:val="24"/>
          <w:szCs w:val="24"/>
        </w:rPr>
        <w:t xml:space="preserve">.</w:t>
      </w:r>
      <w:r/>
    </w:p>
    <w:p>
      <w:pPr>
        <w:ind w:right="-1"/>
        <w:jc w:val="both"/>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73"/>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75"/>
              <w:jc w:val="center"/>
              <w:rPr>
                <w:b/>
                <w:bCs/>
              </w:rPr>
            </w:pPr>
            <w:r>
              <w:rPr>
                <w:b/>
                <w:bCs/>
              </w:rPr>
              <w:t xml:space="preserve">№ п/п</w:t>
            </w:r>
            <w:r/>
          </w:p>
        </w:tc>
        <w:tc>
          <w:tcPr>
            <w:tcW w:w="5670" w:type="dxa"/>
            <w:textDirection w:val="lrTb"/>
            <w:noWrap w:val="false"/>
          </w:tcPr>
          <w:p>
            <w:pPr>
              <w:pStyle w:val="675"/>
              <w:jc w:val="center"/>
              <w:rPr>
                <w:b/>
                <w:bCs/>
              </w:rPr>
            </w:pPr>
            <w:r>
              <w:rPr>
                <w:b/>
                <w:bCs/>
              </w:rPr>
              <w:t xml:space="preserve">Назва системи</w:t>
            </w:r>
            <w:r/>
          </w:p>
        </w:tc>
        <w:tc>
          <w:tcPr>
            <w:tcW w:w="1701" w:type="dxa"/>
            <w:textDirection w:val="lrTb"/>
            <w:noWrap w:val="false"/>
          </w:tcPr>
          <w:p>
            <w:pPr>
              <w:pStyle w:val="675"/>
              <w:jc w:val="center"/>
              <w:rPr>
                <w:b/>
                <w:bCs/>
              </w:rPr>
            </w:pPr>
            <w:r>
              <w:rPr>
                <w:b/>
                <w:bCs/>
              </w:rPr>
              <w:t xml:space="preserve">Одиниця виміру</w:t>
            </w:r>
            <w:r/>
          </w:p>
        </w:tc>
        <w:tc>
          <w:tcPr>
            <w:tcW w:w="1701" w:type="dxa"/>
            <w:textDirection w:val="lrTb"/>
            <w:noWrap w:val="false"/>
          </w:tcPr>
          <w:p>
            <w:pPr>
              <w:pStyle w:val="675"/>
              <w:jc w:val="center"/>
              <w:rPr>
                <w:b/>
                <w:bCs/>
              </w:rPr>
            </w:pPr>
            <w:r>
              <w:rPr>
                <w:b/>
                <w:bCs/>
              </w:rPr>
              <w:t xml:space="preserve">Кількість</w:t>
            </w:r>
            <w:r/>
          </w:p>
        </w:tc>
      </w:tr>
      <w:tr>
        <w:trPr/>
        <w:tc>
          <w:tcPr>
            <w:tcW w:w="562" w:type="dxa"/>
            <w:vAlign w:val="center"/>
            <w:textDirection w:val="lrTb"/>
            <w:noWrap w:val="false"/>
          </w:tcPr>
          <w:p>
            <w:pPr>
              <w:pStyle w:val="675"/>
              <w:jc w:val="center"/>
            </w:pPr>
            <w:r>
              <w:rPr>
                <w:b/>
                <w:bCs/>
              </w:rPr>
              <w:t xml:space="preserve">1</w:t>
            </w:r>
            <w:r/>
          </w:p>
        </w:tc>
        <w:tc>
          <w:tcPr>
            <w:tcW w:w="5670" w:type="dxa"/>
            <w:textDirection w:val="lrTb"/>
            <w:noWrap w:val="false"/>
          </w:tcPr>
          <w:p>
            <w:pPr>
              <w:pStyle w:val="675"/>
              <w:jc w:val="both"/>
              <w:rPr>
                <w:b/>
                <w:bCs/>
              </w:rPr>
            </w:pPr>
            <w:r>
              <w:rPr>
                <w:b/>
                <w:bCs/>
              </w:rPr>
              <w:t xml:space="preserve">Міжкімнатна скляна перегородка (зі звукоізоляцією)</w:t>
            </w:r>
            <w:r/>
          </w:p>
        </w:tc>
        <w:tc>
          <w:tcPr>
            <w:tcW w:w="1701" w:type="dxa"/>
            <w:vAlign w:val="center"/>
            <w:textDirection w:val="lrTb"/>
            <w:noWrap w:val="false"/>
          </w:tcPr>
          <w:p>
            <w:pPr>
              <w:pStyle w:val="675"/>
              <w:jc w:val="center"/>
            </w:pPr>
            <w:r>
              <w:t xml:space="preserve">шт.</w:t>
            </w:r>
            <w:r/>
          </w:p>
        </w:tc>
        <w:tc>
          <w:tcPr>
            <w:tcW w:w="1701" w:type="dxa"/>
            <w:vAlign w:val="center"/>
            <w:textDirection w:val="lrTb"/>
            <w:noWrap w:val="false"/>
          </w:tcPr>
          <w:p>
            <w:pPr>
              <w:pStyle w:val="675"/>
              <w:jc w:val="center"/>
            </w:pPr>
            <w:r>
              <w:rPr>
                <w:b/>
              </w:rPr>
              <w:t xml:space="preserve">1</w:t>
            </w:r>
            <w:r/>
          </w:p>
        </w:tc>
      </w:tr>
      <w:tr>
        <w:trPr/>
        <w:tc>
          <w:tcPr>
            <w:tcW w:w="562" w:type="dxa"/>
            <w:vAlign w:val="center"/>
            <w:textDirection w:val="lrTb"/>
            <w:noWrap w:val="false"/>
          </w:tcPr>
          <w:p>
            <w:pPr>
              <w:pStyle w:val="675"/>
              <w:jc w:val="center"/>
            </w:pPr>
            <w:r>
              <w:rPr>
                <w:b/>
                <w:bCs/>
              </w:rPr>
              <w:t xml:space="preserve">2</w:t>
            </w:r>
            <w:r/>
          </w:p>
        </w:tc>
        <w:tc>
          <w:tcPr>
            <w:tcW w:w="5670" w:type="dxa"/>
            <w:textDirection w:val="lrTb"/>
            <w:noWrap w:val="false"/>
          </w:tcPr>
          <w:p>
            <w:pPr>
              <w:pStyle w:val="675"/>
              <w:jc w:val="both"/>
              <w:rPr>
                <w:b/>
                <w:bCs/>
              </w:rPr>
            </w:pPr>
            <w:r>
              <w:rPr>
                <w:b/>
                <w:bCs/>
              </w:rPr>
              <w:t xml:space="preserve">Офісна перегородка (огорожа робочої зони)</w:t>
            </w:r>
            <w:r/>
          </w:p>
        </w:tc>
        <w:tc>
          <w:tcPr>
            <w:tcW w:w="1701" w:type="dxa"/>
            <w:vAlign w:val="center"/>
            <w:textDirection w:val="lrTb"/>
            <w:noWrap w:val="false"/>
          </w:tcPr>
          <w:p>
            <w:pPr>
              <w:pStyle w:val="675"/>
              <w:jc w:val="center"/>
            </w:pPr>
            <w:r>
              <w:t xml:space="preserve">шт.</w:t>
            </w:r>
            <w:r/>
          </w:p>
        </w:tc>
        <w:tc>
          <w:tcPr>
            <w:tcW w:w="1701" w:type="dxa"/>
            <w:vAlign w:val="center"/>
            <w:textDirection w:val="lrTb"/>
            <w:noWrap w:val="false"/>
          </w:tcPr>
          <w:p>
            <w:pPr>
              <w:pStyle w:val="675"/>
              <w:jc w:val="center"/>
            </w:pPr>
            <w:r>
              <w:rPr>
                <w:b/>
              </w:rPr>
              <w:t xml:space="preserve">1</w:t>
            </w:r>
            <w:r/>
          </w:p>
        </w:tc>
      </w:tr>
      <w:tr>
        <w:trPr/>
        <w:tc>
          <w:tcPr>
            <w:tcW w:w="562" w:type="dxa"/>
            <w:vAlign w:val="center"/>
            <w:textDirection w:val="lrTb"/>
            <w:noWrap w:val="false"/>
          </w:tcPr>
          <w:p>
            <w:pPr>
              <w:pStyle w:val="675"/>
              <w:jc w:val="center"/>
            </w:pPr>
            <w:r>
              <w:rPr>
                <w:b/>
                <w:bCs/>
              </w:rPr>
              <w:t xml:space="preserve">3</w:t>
            </w:r>
            <w:r/>
          </w:p>
        </w:tc>
        <w:tc>
          <w:tcPr>
            <w:tcW w:w="5670" w:type="dxa"/>
            <w:textDirection w:val="lrTb"/>
            <w:noWrap w:val="false"/>
          </w:tcPr>
          <w:p>
            <w:pPr>
              <w:pStyle w:val="675"/>
              <w:jc w:val="both"/>
              <w:rPr>
                <w:b/>
                <w:bCs/>
              </w:rPr>
            </w:pPr>
            <w:r>
              <w:rPr>
                <w:b/>
                <w:bCs/>
              </w:rPr>
              <w:t xml:space="preserve">Кутова перегородка</w:t>
            </w:r>
            <w:r/>
          </w:p>
        </w:tc>
        <w:tc>
          <w:tcPr>
            <w:tcW w:w="1701" w:type="dxa"/>
            <w:vAlign w:val="center"/>
            <w:textDirection w:val="lrTb"/>
            <w:noWrap w:val="false"/>
          </w:tcPr>
          <w:p>
            <w:pPr>
              <w:pStyle w:val="675"/>
              <w:jc w:val="center"/>
            </w:pPr>
            <w:r>
              <w:t xml:space="preserve">шт.</w:t>
            </w:r>
            <w:r/>
          </w:p>
        </w:tc>
        <w:tc>
          <w:tcPr>
            <w:tcW w:w="1701" w:type="dxa"/>
            <w:vAlign w:val="center"/>
            <w:textDirection w:val="lrTb"/>
            <w:noWrap w:val="false"/>
          </w:tcPr>
          <w:p>
            <w:pPr>
              <w:pStyle w:val="675"/>
              <w:jc w:val="center"/>
            </w:pPr>
            <w:r>
              <w:rPr>
                <w:b/>
              </w:rPr>
              <w:t xml:space="preserve">1</w:t>
            </w:r>
            <w:r/>
          </w:p>
        </w:tc>
      </w:tr>
      <w:tr>
        <w:trPr/>
        <w:tc>
          <w:tcPr>
            <w:tcW w:w="562" w:type="dxa"/>
            <w:vAlign w:val="center"/>
            <w:textDirection w:val="lrTb"/>
            <w:noWrap w:val="false"/>
          </w:tcPr>
          <w:p>
            <w:pPr>
              <w:pStyle w:val="675"/>
              <w:jc w:val="center"/>
            </w:pPr>
            <w:r>
              <w:rPr>
                <w:b/>
                <w:bCs/>
              </w:rPr>
              <w:t xml:space="preserve">4</w:t>
            </w:r>
            <w:r/>
          </w:p>
        </w:tc>
        <w:tc>
          <w:tcPr>
            <w:tcW w:w="5670" w:type="dxa"/>
            <w:textDirection w:val="lrTb"/>
            <w:noWrap w:val="false"/>
          </w:tcPr>
          <w:p>
            <w:pPr>
              <w:pStyle w:val="675"/>
              <w:jc w:val="both"/>
              <w:rPr>
                <w:b/>
                <w:bCs/>
              </w:rPr>
            </w:pPr>
            <w:r>
              <w:rPr>
                <w:b/>
                <w:bCs/>
              </w:rPr>
              <w:t xml:space="preserve">Перегородка душової кабіни</w:t>
            </w:r>
            <w:r/>
          </w:p>
        </w:tc>
        <w:tc>
          <w:tcPr>
            <w:tcW w:w="1701" w:type="dxa"/>
            <w:vAlign w:val="center"/>
            <w:textDirection w:val="lrTb"/>
            <w:noWrap w:val="false"/>
          </w:tcPr>
          <w:p>
            <w:pPr>
              <w:pStyle w:val="675"/>
              <w:jc w:val="center"/>
            </w:pPr>
            <w:r>
              <w:t xml:space="preserve">шт.</w:t>
            </w:r>
            <w:r/>
          </w:p>
        </w:tc>
        <w:tc>
          <w:tcPr>
            <w:tcW w:w="1701" w:type="dxa"/>
            <w:vAlign w:val="center"/>
            <w:textDirection w:val="lrTb"/>
            <w:noWrap w:val="false"/>
          </w:tcPr>
          <w:p>
            <w:pPr>
              <w:pStyle w:val="675"/>
              <w:jc w:val="center"/>
            </w:pPr>
            <w:r>
              <w:rPr>
                <w:b/>
              </w:rPr>
              <w:t xml:space="preserve">2</w:t>
            </w:r>
            <w:r/>
          </w:p>
        </w:tc>
      </w:tr>
    </w:tbl>
    <w:p>
      <w:pPr>
        <w:pStyle w:val="675"/>
        <w:jc w:val="both"/>
        <w:spacing w:after="0" w:line="240" w:lineRule="auto"/>
        <w:rPr>
          <w:b/>
          <w:bCs/>
          <w:i/>
          <w:iCs/>
          <w:lang w:eastAsia="ru-RU"/>
        </w:rPr>
      </w:pPr>
      <w:r>
        <w:rPr>
          <w:b/>
          <w:bCs/>
          <w:i/>
          <w:iCs/>
          <w:lang w:eastAsia="ru-RU"/>
        </w:rPr>
      </w:r>
      <w:r/>
    </w:p>
    <w:p>
      <w:pPr>
        <w:pStyle w:val="675"/>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встановлення (введення в експлуатацію) Товару.</w:t>
      </w:r>
      <w:r/>
    </w:p>
    <w:p>
      <w:pPr>
        <w:pStyle w:val="675"/>
        <w:jc w:val="both"/>
        <w:spacing w:after="0" w:line="240" w:lineRule="auto"/>
        <w:rPr>
          <w:b/>
          <w:bCs/>
          <w:i/>
          <w:iCs/>
        </w:rPr>
      </w:pPr>
      <w:r>
        <w:rPr>
          <w:b/>
          <w:bCs/>
          <w:i/>
          <w:iCs/>
        </w:rPr>
      </w:r>
      <w:r/>
    </w:p>
    <w:p>
      <w:pPr>
        <w:pStyle w:val="675"/>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7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67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73"/>
        <w:tblW w:w="9634" w:type="dxa"/>
        <w:tblLook w:val="04A0" w:firstRow="1" w:lastRow="0" w:firstColumn="1" w:lastColumn="0" w:noHBand="0" w:noVBand="1"/>
      </w:tblPr>
      <w:tblGrid>
        <w:gridCol w:w="458"/>
        <w:gridCol w:w="4955"/>
        <w:gridCol w:w="2095"/>
        <w:gridCol w:w="2126"/>
      </w:tblGrid>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Міжкімнатна скляна перегородка (зі звукоізоляцією), </w:t>
            </w:r>
            <w:r>
              <w:rPr>
                <w:rFonts w:ascii="Times New Roman" w:hAnsi="Times New Roman" w:cs="Times New Roman"/>
                <w:i/>
                <w:iCs/>
                <w:sz w:val="24"/>
                <w:szCs w:val="24"/>
              </w:rPr>
              <w:t xml:space="preserve">у складі:</w:t>
            </w:r>
            <w:r/>
          </w:p>
        </w:tc>
      </w:tr>
      <w:tr>
        <w:trPr/>
        <w:tc>
          <w:tcPr>
            <w:tcW w:w="458"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55"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2095"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212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lang w:val="en-US"/>
              </w:rPr>
              <w:t xml:space="preserve">SMART GLASS </w:t>
            </w:r>
            <w:r>
              <w:rPr>
                <w:rFonts w:ascii="Times New Roman" w:hAnsi="Times New Roman" w:cs="Times New Roman"/>
                <w:sz w:val="24"/>
                <w:szCs w:val="24"/>
              </w:rPr>
              <w:t xml:space="preserve">(розумне скло) колір білий, </w:t>
            </w:r>
            <w:r>
              <w:rPr>
                <w:rFonts w:ascii="Times New Roman" w:hAnsi="Times New Roman" w:cs="Times New Roman"/>
                <w:sz w:val="24"/>
                <w:szCs w:val="24"/>
              </w:rPr>
              <w:t xml:space="preserve">тріплекс</w:t>
            </w:r>
            <w:r>
              <w:rPr>
                <w:rFonts w:ascii="Times New Roman" w:hAnsi="Times New Roman" w:cs="Times New Roman"/>
                <w:sz w:val="24"/>
                <w:szCs w:val="24"/>
              </w:rPr>
              <w:t xml:space="preserve"> 4.4.1</w:t>
            </w:r>
            <w:r/>
          </w:p>
        </w:tc>
        <w:tc>
          <w:tcPr>
            <w:tcW w:w="20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36,1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Скло прозоре 8 мм</w:t>
            </w:r>
            <w:r/>
          </w:p>
        </w:tc>
        <w:tc>
          <w:tcPr>
            <w:tcW w:w="20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36,1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Сендвіч панель, 2 шари</w:t>
            </w:r>
            <w:r/>
          </w:p>
        </w:tc>
        <w:tc>
          <w:tcPr>
            <w:tcW w:w="20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21,2</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Стійко</w:t>
            </w:r>
            <w:r>
              <w:rPr>
                <w:rFonts w:ascii="Times New Roman" w:hAnsi="Times New Roman" w:cs="Times New Roman"/>
                <w:sz w:val="24"/>
                <w:szCs w:val="24"/>
              </w:rPr>
              <w:t xml:space="preserve">-ригельна система (двері, коробка, петлі, циліндр ключа, замок, ущільнювач), звукоізоляція</w:t>
            </w:r>
            <w:r/>
          </w:p>
        </w:tc>
        <w:tc>
          <w:tcPr>
            <w:tcW w:w="20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73"/>
        <w:tblW w:w="9634" w:type="dxa"/>
        <w:tblLook w:val="04A0" w:firstRow="1" w:lastRow="0" w:firstColumn="1" w:lastColumn="0" w:noHBand="0" w:noVBand="1"/>
      </w:tblPr>
      <w:tblGrid>
        <w:gridCol w:w="456"/>
        <w:gridCol w:w="4922"/>
        <w:gridCol w:w="2130"/>
        <w:gridCol w:w="2126"/>
      </w:tblGrid>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Офісна перегородка (огорожа робочої зони),</w:t>
            </w:r>
            <w:r>
              <w:rPr>
                <w:rFonts w:ascii="Times New Roman" w:hAnsi="Times New Roman" w:cs="Times New Roman"/>
                <w:i/>
                <w:iCs/>
                <w:sz w:val="24"/>
                <w:szCs w:val="24"/>
              </w:rPr>
              <w:t xml:space="preserve"> у складі:</w:t>
            </w:r>
            <w:r/>
          </w:p>
        </w:tc>
      </w:tr>
      <w:tr>
        <w:trPr/>
        <w:tc>
          <w:tcPr>
            <w:tcW w:w="45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2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2130"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212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Скло 10 мм, </w:t>
            </w:r>
            <w:r>
              <w:rPr>
                <w:rFonts w:ascii="Times New Roman" w:hAnsi="Times New Roman" w:cs="Times New Roman"/>
                <w:sz w:val="24"/>
                <w:szCs w:val="24"/>
                <w:lang w:val="en-US"/>
              </w:rPr>
              <w:t xml:space="preserve">float</w:t>
            </w:r>
            <w:r>
              <w:rPr>
                <w:rFonts w:ascii="Times New Roman" w:hAnsi="Times New Roman" w:cs="Times New Roman"/>
                <w:sz w:val="24"/>
                <w:szCs w:val="24"/>
              </w:rPr>
              <w:t xml:space="preserve">, гартоване, матове</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Матова плівка</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Стійко</w:t>
            </w:r>
            <w:r>
              <w:rPr>
                <w:rFonts w:ascii="Times New Roman" w:hAnsi="Times New Roman" w:cs="Times New Roman"/>
                <w:sz w:val="24"/>
                <w:szCs w:val="24"/>
              </w:rPr>
              <w:t xml:space="preserve">-ригельна система без звукоізоляції</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73"/>
        <w:tblW w:w="9634" w:type="dxa"/>
        <w:tblLook w:val="04A0" w:firstRow="1" w:lastRow="0" w:firstColumn="1" w:lastColumn="0" w:noHBand="0" w:noVBand="1"/>
      </w:tblPr>
      <w:tblGrid>
        <w:gridCol w:w="456"/>
        <w:gridCol w:w="4922"/>
        <w:gridCol w:w="2130"/>
        <w:gridCol w:w="2126"/>
      </w:tblGrid>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Кутова перегородка, </w:t>
            </w:r>
            <w:r>
              <w:rPr>
                <w:rFonts w:ascii="Times New Roman" w:hAnsi="Times New Roman" w:cs="Times New Roman"/>
                <w:i/>
                <w:iCs/>
                <w:sz w:val="24"/>
                <w:szCs w:val="24"/>
              </w:rPr>
              <w:t xml:space="preserve">у складі:</w:t>
            </w:r>
            <w:r/>
          </w:p>
        </w:tc>
      </w:tr>
      <w:tr>
        <w:trPr/>
        <w:tc>
          <w:tcPr>
            <w:tcW w:w="45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2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tcW w:w="2130"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212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Скло 10 мм, </w:t>
            </w:r>
            <w:r>
              <w:rPr>
                <w:rFonts w:ascii="Times New Roman" w:hAnsi="Times New Roman" w:cs="Times New Roman"/>
                <w:sz w:val="24"/>
                <w:szCs w:val="24"/>
                <w:lang w:val="en-US"/>
              </w:rPr>
              <w:t xml:space="preserve">float</w:t>
            </w:r>
            <w:r>
              <w:rPr>
                <w:rFonts w:ascii="Times New Roman" w:hAnsi="Times New Roman" w:cs="Times New Roman"/>
                <w:sz w:val="24"/>
                <w:szCs w:val="24"/>
              </w:rPr>
              <w:t xml:space="preserve">, гартоване</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Художній </w:t>
            </w:r>
            <w:r>
              <w:rPr>
                <w:rFonts w:ascii="Times New Roman" w:hAnsi="Times New Roman" w:cs="Times New Roman"/>
                <w:sz w:val="24"/>
                <w:szCs w:val="24"/>
              </w:rPr>
              <w:t xml:space="preserve">піскоструй</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Система стаціонарної перегородки (подвійний вітраж)</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73"/>
        <w:tblW w:w="9634" w:type="dxa"/>
        <w:tblLook w:val="04A0" w:firstRow="1" w:lastRow="0" w:firstColumn="1" w:lastColumn="0" w:noHBand="0" w:noVBand="1"/>
      </w:tblPr>
      <w:tblGrid>
        <w:gridCol w:w="456"/>
        <w:gridCol w:w="4922"/>
        <w:gridCol w:w="2130"/>
        <w:gridCol w:w="2126"/>
      </w:tblGrid>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Перегородка душової кабіни, </w:t>
            </w:r>
            <w:r>
              <w:rPr>
                <w:rFonts w:ascii="Times New Roman" w:hAnsi="Times New Roman" w:cs="Times New Roman"/>
                <w:i/>
                <w:iCs/>
                <w:sz w:val="24"/>
                <w:szCs w:val="24"/>
              </w:rPr>
              <w:t xml:space="preserve">у складі:</w:t>
            </w:r>
            <w:r/>
          </w:p>
        </w:tc>
      </w:tr>
      <w:tr>
        <w:trPr/>
        <w:tc>
          <w:tcPr>
            <w:tcW w:w="45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2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tcW w:w="2130"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212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Скло 8 мм, </w:t>
            </w:r>
            <w:r>
              <w:rPr>
                <w:rFonts w:ascii="Times New Roman" w:hAnsi="Times New Roman" w:cs="Times New Roman"/>
                <w:sz w:val="24"/>
                <w:szCs w:val="24"/>
                <w:lang w:val="en-US"/>
              </w:rPr>
              <w:t xml:space="preserve">float</w:t>
            </w:r>
            <w:r>
              <w:rPr>
                <w:rFonts w:ascii="Times New Roman" w:hAnsi="Times New Roman" w:cs="Times New Roman"/>
                <w:sz w:val="24"/>
                <w:szCs w:val="24"/>
              </w:rPr>
              <w:t xml:space="preserve">, гартоване</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Профіль кріплення, алюмінієвий 12*17</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Склотримач</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Поліровка</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firstLine="567"/>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2 343 669,00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 мільйони триста сорок три тисячі шістсот шістдесят дев’ять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0">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8"/>
  </w:num>
  <w:num w:numId="2">
    <w:abstractNumId w:val="6"/>
  </w:num>
  <w:num w:numId="3">
    <w:abstractNumId w:val="2"/>
  </w:num>
  <w:num w:numId="4">
    <w:abstractNumId w:val="7"/>
  </w:num>
  <w:num w:numId="5">
    <w:abstractNumId w:val="1"/>
  </w:num>
  <w:num w:numId="6">
    <w:abstractNumId w:val="9"/>
  </w:num>
  <w:num w:numId="7">
    <w:abstractNumId w:val="3"/>
  </w:num>
  <w:num w:numId="8">
    <w:abstractNumId w:val="10"/>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8"/>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668"/>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668"/>
    <w:link w:val="42"/>
    <w:uiPriority w:val="99"/>
  </w:style>
  <w:style w:type="character" w:styleId="45">
    <w:name w:val="Footer Char"/>
    <w:basedOn w:val="668"/>
    <w:link w:val="677"/>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677"/>
    <w:uiPriority w:val="99"/>
  </w:style>
  <w:style w:type="table" w:styleId="49">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8"/>
    <w:uiPriority w:val="99"/>
    <w:unhideWhenUsed/>
    <w:rPr>
      <w:vertAlign w:val="superscript"/>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8"/>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qFormat/>
    <w:rPr>
      <w:lang w:val="uk-UA"/>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name w:val="List Paragraph"/>
    <w:basedOn w:val="667"/>
    <w:link w:val="672"/>
    <w:uiPriority w:val="99"/>
    <w:qFormat/>
    <w:pPr>
      <w:contextualSpacing/>
      <w:ind w:left="720"/>
      <w:spacing w:after="200" w:line="276" w:lineRule="auto"/>
    </w:pPr>
    <w:rPr>
      <w:rFonts w:ascii="Calibri" w:hAnsi="Calibri" w:eastAsia="Calibri" w:cs="Calibri"/>
      <w:lang w:val="ru-RU" w:eastAsia="zh-CN"/>
    </w:rPr>
  </w:style>
  <w:style w:type="character" w:styleId="672" w:customStyle="1">
    <w:name w:val="Абзац списку Знак"/>
    <w:link w:val="671"/>
    <w:uiPriority w:val="99"/>
    <w:rPr>
      <w:rFonts w:ascii="Calibri" w:hAnsi="Calibri" w:eastAsia="Calibri" w:cs="Calibri"/>
      <w:lang w:eastAsia="zh-CN"/>
    </w:rPr>
  </w:style>
  <w:style w:type="table" w:styleId="673">
    <w:name w:val="Table Grid"/>
    <w:basedOn w:val="66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4" w:customStyle="1">
    <w:name w:val="Сетка таблицы2"/>
    <w:basedOn w:val="669"/>
    <w:next w:val="67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5">
    <w:name w:val="Normal (Web)"/>
    <w:basedOn w:val="667"/>
    <w:link w:val="682"/>
    <w:unhideWhenUsed/>
    <w:qFormat/>
    <w:rPr>
      <w:rFonts w:ascii="Times New Roman" w:hAnsi="Times New Roman" w:cs="Times New Roman"/>
      <w:sz w:val="24"/>
      <w:szCs w:val="24"/>
    </w:rPr>
  </w:style>
  <w:style w:type="table" w:styleId="676" w:customStyle="1">
    <w:name w:val="Сетка таблицы1"/>
    <w:basedOn w:val="669"/>
    <w:next w:val="67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7">
    <w:name w:val="Footer"/>
    <w:basedOn w:val="667"/>
    <w:link w:val="67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8" w:customStyle="1">
    <w:name w:val="Нижній колонтитул Знак"/>
    <w:basedOn w:val="668"/>
    <w:link w:val="677"/>
    <w:uiPriority w:val="99"/>
    <w:rPr>
      <w:rFonts w:ascii="Calibri" w:hAnsi="Calibri" w:eastAsia="Calibri" w:cs="Calibri"/>
      <w:lang w:eastAsia="zh-CN"/>
    </w:rPr>
  </w:style>
  <w:style w:type="paragraph" w:styleId="67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0">
    <w:name w:val="Hyperlink"/>
    <w:basedOn w:val="668"/>
    <w:uiPriority w:val="99"/>
    <w:unhideWhenUsed/>
    <w:rPr>
      <w:color w:val="0563c1" w:themeColor="hyperlink"/>
      <w:u w:val="single"/>
    </w:rPr>
  </w:style>
  <w:style w:type="character" w:styleId="681" w:customStyle="1">
    <w:name w:val="xfm_93972720"/>
    <w:basedOn w:val="668"/>
  </w:style>
  <w:style w:type="character" w:styleId="682" w:customStyle="1">
    <w:name w:val="Звичайний (веб) Знак"/>
    <w:link w:val="675"/>
    <w:qFormat/>
    <w:rPr>
      <w:rFonts w:ascii="Times New Roman" w:hAnsi="Times New Roman" w:cs="Times New Roman"/>
      <w:sz w:val="24"/>
      <w:szCs w:val="24"/>
      <w:lang w:val="uk-UA"/>
    </w:rPr>
  </w:style>
  <w:style w:type="paragraph" w:styleId="683">
    <w:name w:val="Body Text 2"/>
    <w:basedOn w:val="667"/>
    <w:link w:val="684"/>
    <w:pPr>
      <w:spacing w:after="0" w:line="240" w:lineRule="auto"/>
    </w:pPr>
    <w:rPr>
      <w:rFonts w:ascii="Times New Roman" w:hAnsi="Times New Roman" w:eastAsia="Times New Roman" w:cs="Times New Roman"/>
      <w:sz w:val="28"/>
      <w:szCs w:val="20"/>
      <w:lang w:val="ru-RU" w:eastAsia="ru-RU"/>
    </w:rPr>
  </w:style>
  <w:style w:type="character" w:styleId="684" w:customStyle="1">
    <w:name w:val="Основний текст 2 Знак"/>
    <w:basedOn w:val="668"/>
    <w:link w:val="683"/>
    <w:rPr>
      <w:rFonts w:ascii="Times New Roman" w:hAnsi="Times New Roman" w:eastAsia="Times New Roman" w:cs="Times New Roman"/>
      <w:sz w:val="28"/>
      <w:szCs w:val="20"/>
      <w:lang w:eastAsia="ru-RU"/>
    </w:rPr>
  </w:style>
  <w:style w:type="paragraph" w:styleId="685" w:customStyle="1">
    <w:name w:val="Default"/>
    <w:pPr>
      <w:spacing w:after="0" w:line="240" w:lineRule="auto"/>
    </w:pPr>
    <w:rPr>
      <w:rFonts w:ascii="Times New Roman" w:hAnsi="Times New Roman" w:eastAsia="Calibri" w:cs="Times New Roman"/>
      <w:color w:val="000000"/>
      <w:sz w:val="24"/>
      <w:szCs w:val="24"/>
      <w:lang w:val="uk-UA"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63</cp:revision>
  <dcterms:created xsi:type="dcterms:W3CDTF">2022-11-01T12:47:00Z</dcterms:created>
  <dcterms:modified xsi:type="dcterms:W3CDTF">2023-04-18T15:32:28Z</dcterms:modified>
</cp:coreProperties>
</file>