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металопластикового вікна, підвіконника та віконного відливу  за кодом CPV за ЄЗС ДК 021:2015: 44220000-8 Столярні вироби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010992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металопластикового вікна, підвіконника та віконного відливу  </w:t>
      </w:r>
      <w:r/>
    </w:p>
    <w:p>
      <w:r/>
      <w:bookmarkStart w:id="0" w:name="_Hlk133585300"/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Металопластикове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вікно</w:t>
            </w:r>
            <w:r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 xml:space="preserve">суцільне</w:t>
            </w:r>
            <w:r>
              <w:rPr>
                <w:b/>
                <w:bCs/>
                <w:lang w:val="ru-RU"/>
              </w:rPr>
              <w:t xml:space="preserve"> з </w:t>
            </w:r>
            <w:r>
              <w:rPr>
                <w:b/>
                <w:bCs/>
                <w:lang w:val="ru-RU"/>
              </w:rPr>
              <w:t xml:space="preserve">одинарним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склопакетом</w:t>
            </w:r>
            <w:r>
              <w:rPr>
                <w:b/>
                <w:bCs/>
                <w:lang w:val="ru-RU"/>
              </w:rPr>
              <w:t xml:space="preserve">, (1*1 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Відлив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віконний</w:t>
            </w:r>
            <w:r>
              <w:rPr>
                <w:b/>
                <w:bCs/>
                <w:lang w:val="ru-RU"/>
              </w:rPr>
              <w:t xml:space="preserve"> 80*200 мм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11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Дошка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підвіконна</w:t>
            </w:r>
            <w:r>
              <w:rPr>
                <w:b/>
                <w:bCs/>
                <w:lang w:val="ru-RU"/>
              </w:rPr>
              <w:t xml:space="preserve">, 1000*300*20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шт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сертифікати відповідності виробника та/або технічні паспорти у разі їх наявності.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6"/>
        <w:gridCol w:w="6564"/>
        <w:gridCol w:w="1208"/>
        <w:gridCol w:w="140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Металопластикове вікно, суцільне з одинарним склопакетом, (1*1 м)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Відлив віконний 80*200 мм, коричневий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Дошка підвіконна 1000*300*20, ПВХ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bookmarkEnd w:id="0"/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9 344,37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дев’ять тисяч триста сорок чотири гривні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82</cp:revision>
  <dcterms:created xsi:type="dcterms:W3CDTF">2022-11-01T12:47:00Z</dcterms:created>
  <dcterms:modified xsi:type="dcterms:W3CDTF">2023-05-10T10:55:14Z</dcterms:modified>
</cp:coreProperties>
</file>