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(відповідно до пункту 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 постанови КМУ від 11.10.2016 № 710 «Про ефективне використання державних коштів» (зі змінами))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 </w:t>
      </w:r>
      <w:r>
        <w:rPr>
          <w:rFonts w:ascii="Times New Roman" w:hAnsi="Times New Roman" w:cs="Times New Roman"/>
          <w:sz w:val="24"/>
          <w:szCs w:val="24"/>
        </w:rPr>
        <w:t xml:space="preserve">ДЕРЖАВНА УСТАНОВА "ЦЕНТР ІНФРАСТРУКТУРИ ТА ТЕХНОЛОГІЙ МІНІСТЕРСТВА ВНУТРІШНІХ СПРАВ УКРАЇНИ"; 03151, Україна, м. Київ, вул. Володимира </w:t>
      </w:r>
      <w:r>
        <w:rPr>
          <w:rFonts w:ascii="Times New Roman" w:hAnsi="Times New Roman" w:cs="Times New Roman"/>
          <w:sz w:val="24"/>
          <w:szCs w:val="24"/>
        </w:rPr>
        <w:t xml:space="preserve">Сікевича</w:t>
      </w:r>
      <w:r>
        <w:rPr>
          <w:rFonts w:ascii="Times New Roman" w:hAnsi="Times New Roman" w:cs="Times New Roman"/>
          <w:sz w:val="24"/>
          <w:szCs w:val="24"/>
        </w:rPr>
        <w:t xml:space="preserve">, 28; категорія замовника – бюджетна неприбуткова установа. 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pStyle w:val="684"/>
        <w:jc w:val="both"/>
        <w:spacing w:before="0" w:beforeAutospacing="0" w:after="0" w:afterAutospacing="0"/>
        <w:shd w:val="clear" w:color="auto" w:fill="ffffff" w:themeFill="background1"/>
        <w:rPr>
          <w:color w:val="585858"/>
          <w:sz w:val="28"/>
          <w:szCs w:val="28"/>
        </w:rPr>
      </w:pP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 Назва предм</w:t>
      </w:r>
      <w:r>
        <w:rPr>
          <w:sz w:val="24"/>
          <w:szCs w:val="24"/>
        </w:rPr>
        <w:t xml:space="preserve">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Закупівля планів евакуації за ДК 021:2015: 35110000-8 Протипожежне, рятувальне та захисне обладнання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Ідентифікатор закупівлі: — </w:t>
      </w:r>
      <w:r>
        <w:rPr>
          <w:rFonts w:ascii="Times New Roman" w:hAnsi="Times New Roman" w:cs="Times New Roman"/>
          <w:sz w:val="24"/>
          <w:szCs w:val="24"/>
        </w:rPr>
        <w:t xml:space="preserve">UA-2023-0</w:t>
      </w:r>
      <w:r>
        <w:rPr>
          <w:rFonts w:ascii="Times New Roman" w:hAnsi="Times New Roman" w:cs="Times New Roman"/>
          <w:sz w:val="24"/>
          <w:szCs w:val="24"/>
        </w:rPr>
        <w:t xml:space="preserve">9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7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013825-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4. Обґрунтування технічних та якісних </w:t>
      </w: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характеристик предмета закупівлі</w:t>
      </w:r>
      <w:r>
        <w:rPr>
          <w:rFonts w:ascii="Times New Roman" w:hAnsi="Times New Roman" w:eastAsia="Times New Roman" w:cs="Times New Roman"/>
          <w:bCs/>
          <w:sz w:val="24"/>
          <w:lang w:eastAsia="ru-RU"/>
        </w:rPr>
        <w:t xml:space="preserve">: </w:t>
      </w:r>
      <w:r>
        <w:rPr>
          <w:rFonts w:ascii="Times New Roman" w:hAnsi="Times New Roman" w:eastAsia="Times New Roman" w:cs="Times New Roman"/>
          <w:sz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Закупівля планів евакуації</w:t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357"/>
        <w:jc w:val="center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ТЕХНІЧНІ ВИМОГИ</w:t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357"/>
        <w:jc w:val="center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</w:r>
      <w:r/>
    </w:p>
    <w:tbl>
      <w:tblPr>
        <w:tblStyle w:val="690"/>
        <w:tblW w:w="9634" w:type="dxa"/>
        <w:tblLook w:val="04A0" w:firstRow="1" w:lastRow="0" w:firstColumn="1" w:lastColumn="0" w:noHBand="0" w:noVBand="1"/>
      </w:tblPr>
      <w:tblGrid>
        <w:gridCol w:w="562"/>
        <w:gridCol w:w="5670"/>
        <w:gridCol w:w="1701"/>
        <w:gridCol w:w="1701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textDirection w:val="lrTb"/>
            <w:noWrap w:val="false"/>
          </w:tcPr>
          <w:p>
            <w:pPr>
              <w:pStyle w:val="692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№ п/п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0" w:type="dxa"/>
            <w:textDirection w:val="lrTb"/>
            <w:noWrap w:val="false"/>
          </w:tcPr>
          <w:p>
            <w:pPr>
              <w:pStyle w:val="692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Назва</w:t>
            </w:r>
            <w:r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 xml:space="preserve">системи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Style w:val="692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Одиниця</w:t>
            </w:r>
            <w:r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 xml:space="preserve">виміру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Style w:val="692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Кількість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 w:val="false"/>
          </w:tcPr>
          <w:p>
            <w:pPr>
              <w:pStyle w:val="692"/>
              <w:jc w:val="center"/>
              <w:rPr>
                <w:lang w:val="ru-RU"/>
              </w:rPr>
            </w:pPr>
            <w:r>
              <w:rPr>
                <w:b/>
                <w:bCs/>
                <w:lang w:val="ru-RU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0" w:type="dxa"/>
            <w:textDirection w:val="lrTb"/>
            <w:noWrap w:val="false"/>
          </w:tcPr>
          <w:p>
            <w:pPr>
              <w:pStyle w:val="692"/>
              <w:rPr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 xml:space="preserve">План </w:t>
            </w:r>
            <w:r>
              <w:rPr>
                <w:rFonts w:eastAsia="Calibri"/>
                <w:b/>
                <w:bCs/>
                <w:lang w:val="ru-RU"/>
              </w:rPr>
              <w:t xml:space="preserve">евакуації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92"/>
              <w:jc w:val="center"/>
              <w:rPr>
                <w:lang w:val="ru-RU"/>
              </w:rPr>
            </w:pPr>
            <w:r>
              <w:rPr>
                <w:b/>
                <w:bCs/>
                <w:lang w:val="ru-RU"/>
              </w:rPr>
              <w:t xml:space="preserve">шт.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92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8</w:t>
            </w:r>
            <w:r/>
          </w:p>
        </w:tc>
      </w:tr>
    </w:tbl>
    <w:p>
      <w:pPr>
        <w:pStyle w:val="692"/>
        <w:jc w:val="both"/>
        <w:spacing w:after="0" w:line="240" w:lineRule="auto"/>
        <w:rPr>
          <w:rFonts w:eastAsia="Times New Roman"/>
          <w:b/>
          <w:bCs/>
          <w:i/>
          <w:iCs/>
          <w:lang w:eastAsia="ru-RU"/>
        </w:rPr>
      </w:pPr>
      <w:r>
        <w:rPr>
          <w:rFonts w:eastAsia="Times New Roman"/>
          <w:b/>
          <w:bCs/>
          <w:i/>
          <w:iCs/>
          <w:lang w:eastAsia="ru-RU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У ціну мають бути включені прямі, загальновиробничі та адміністративні витрати з урахуванням витрат, у тому ч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ислі, але не виключно: транспортні витрати, доплати працівникам у зв’язку з втратою часу в дорозі, зв’язок, страхування, спецзасоби, а також економічно обґрунтований прибуток, який Постачальник планує отримати в результаті продажу, кошти на покриття ризикі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 та/або додаткових витрат, пов’язаних з інфляційними процесами, усі податки і збори, обов’язкові платежі, що сплачуються або мають бути сплачені Постачальником для поставки Товару, зокрема податок на додану вартість, інші витрати, необхідні для виконання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проєкту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Договору до моменту його повного завершення. </w:t>
      </w:r>
      <w:r/>
    </w:p>
    <w:p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Характеристики товару повинні відповідати вимогам або бути кращими тих, які наведені в таблиці.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 Пропо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зиція Учасника має містити чітке зазначення виробника, моделі та артикулу для можливості перевірки запропонованого товару технічним вимогам Замовника. У разі відсутності зазначених вимог, Замовник залишає право відхилити пропозицію запропонованого товару. 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1. Товар повинен бути новим, з повною комплектацією. З товаром поставляються технічний паспорт чи інструкція з експлуатації українською мовою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, гарантійні талони, набір драйверів тощо,  передбачених для товару. Упаковка, в якій постачається товар, повинна відповідати загальноприйнятим стандартам та технічним умовам, забезпечувати зберігання товару, та/або його неушкодженість при транспортуванні.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2. Технічні та якісні характеристики повинні відповідати вимогам та стандартам відповідних діючих нормативних документів.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3. Доставка товару здійснюється за рахунок та силами Постачальника, у терміни попередньо узгоджені, і визначається в кожному випадку замовленням Замовника.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4. Приймання товарів проводиться при наявності товаро супроводжуючих документів, видаткової накладної та копії документів, що підтверджують якість товарів.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5. Надати гарантійний лист, що Товар відповідає діючим вимогам природоохоронного законодавства.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6. Надати гарантійний лист, що Товар відповідає діючим вимогам ДСТУ/ГОСТ.</w:t>
      </w:r>
      <w:r/>
    </w:p>
    <w:p>
      <w:pPr>
        <w:ind w:left="14" w:firstLine="538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У разі, якщо характеристики товару, що пропонується Учасником до постачання, відрізняються від характеристик, які вимагаються Замовником, такий учасник у складі тендерної пропозиції надає таблицю відповідності за нижченаведеною формою.</w:t>
      </w:r>
      <w:r/>
    </w:p>
    <w:p>
      <w:pPr>
        <w:ind w:left="14" w:firstLine="538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</w:r>
      <w:r/>
    </w:p>
    <w:p>
      <w:pPr>
        <w:ind w:left="14" w:firstLine="538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</w:r>
      <w:r/>
    </w:p>
    <w:p>
      <w:pPr>
        <w:contextualSpacing/>
        <w:ind w:left="14" w:firstLine="538"/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Таблиця відповідності</w:t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</w:r>
      <w:r/>
    </w:p>
    <w:tbl>
      <w:tblPr>
        <w:tblpPr w:horzAnchor="margin" w:tblpXSpec="left" w:vertAnchor="text" w:tblpY="-62" w:leftFromText="180" w:topFromText="0" w:rightFromText="180" w:bottomFromText="160"/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97"/>
        <w:gridCol w:w="2928"/>
        <w:gridCol w:w="3163"/>
        <w:gridCol w:w="2943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0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№ з/п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0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Характеристика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96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Опис технічних вимог, які визначені Замовником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5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Опис технічних вимог, які  пропонуються Учасником</w:t>
            </w:r>
            <w:r/>
          </w:p>
        </w:tc>
      </w:tr>
    </w:tbl>
    <w:p>
      <w:pPr>
        <w:ind w:firstLine="263"/>
        <w:jc w:val="both"/>
        <w:spacing w:after="0" w:line="240" w:lineRule="auto"/>
        <w:rPr>
          <w:rFonts w:ascii="Times New Roman" w:hAnsi="Times New Roman" w:eastAsia="Times New Roman" w:cs="Times New Roman"/>
          <w:bCs/>
          <w:iCs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Товар повинен відповідати вимогам: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Закону України від 14.08.2014р. № 1644-VІІ «Про санкції»,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Указу Президента України від 15.05.2017р. № 133/2017 «Про рішення Ради національної безпеки і оборони України від 28 квітня 2017 року «Про застосування персональних спеціальних економічних та інших обмежувальних заходів (санкцій)»,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Постанови КМУ від 16.12.2015р. № 1035 «Про обмеження поставок окремих товарів(робіт, послуг) з тимчасово окупованої території на іншу територію України та/або з іншої території України на тимчасово окуповану територію»,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п/п. 4 п.2 частини першої Розпорядження Кабінету Міністрів України від 11.09.2014 р. №829-р «Про пропозиції щодо застосування персональних спеціальних економічних та інших обмежувальних заходів», згідно з якими заборонено здійснення державних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закупівель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товарів, робіт і послуг у юридичних осіб - резидентів Російської Федерації державної форми власності та юридичних осіб, частка статутного капіталу яких перебуває у власності Російської Федерації, а та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кож у інших суб’єктів господарювання, що здійснюють продаж товарів, робіт і послуг походженням з Російської Федерації, крім випадків, коли заміщення таких предметів закупівлі іншими неможливе, що підтверджено Міністерством економічного розвитку і торгівлі.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У разі якщо товар не відповідає технічним вимогам Замовника або Учасник не в змозі виконати умови поставки, які визначені Замовником, Пропозиція відхиляється.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</w:r>
      <w:r/>
    </w:p>
    <w:p>
      <w:pPr>
        <w:pStyle w:val="688"/>
        <w:ind w:left="0" w:firstLine="567"/>
        <w:jc w:val="center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 xml:space="preserve">СПЕЦИФІКАЦІЯ:</w:t>
      </w:r>
      <w:r/>
    </w:p>
    <w:p>
      <w:pPr>
        <w:pStyle w:val="688"/>
        <w:ind w:left="0" w:firstLine="567"/>
        <w:jc w:val="center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r>
      <w:r/>
    </w:p>
    <w:tbl>
      <w:tblPr>
        <w:tblW w:w="99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85"/>
        <w:gridCol w:w="1677"/>
        <w:gridCol w:w="6802"/>
        <w:gridCol w:w="851"/>
      </w:tblGrid>
      <w:tr>
        <w:trPr>
          <w:trHeight w:val="64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/>
            <w:bookmarkStart w:id="0" w:name="_Hlk142316668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Назва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Характеристики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Кількість,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шт</w:t>
            </w:r>
            <w:r/>
          </w:p>
        </w:tc>
      </w:tr>
      <w:tr>
        <w:trPr>
          <w:trHeight w:val="64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План евакуації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4" w:type="dxa"/>
            <w:vAlign w:val="center"/>
            <w:textDirection w:val="lrTb"/>
            <w:noWrap w:val="false"/>
          </w:tcPr>
          <w:p>
            <w:pPr>
              <w:pStyle w:val="70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Розмір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500*300 мм. </w:t>
            </w:r>
            <w:r/>
          </w:p>
          <w:p>
            <w:pPr>
              <w:pStyle w:val="70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Матеріал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: пластик</w:t>
            </w:r>
            <w:r/>
          </w:p>
          <w:p>
            <w:pPr>
              <w:pStyle w:val="70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кожен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поверх по 2ва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плани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(2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шт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).</w:t>
            </w:r>
            <w:r/>
          </w:p>
          <w:p>
            <w:pPr>
              <w:pStyle w:val="70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Плани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поверхів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додаються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окремими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файлами.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8</w:t>
            </w:r>
            <w:bookmarkEnd w:id="0"/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Calibri" w:cs="Times New Roman"/>
          <w:b/>
          <w:bCs/>
          <w:sz w:val="24"/>
          <w:szCs w:val="24"/>
          <w:lang w:val="ru-RU" w:eastAsia="ru-RU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val="ru-RU" w:eastAsia="ru-RU"/>
        </w:rPr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</w:rPr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У разі, якщо у цій тендерній документації (у тому числі у технічній специфікації) міститься посилання: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на стандартні характеристики, технічні регламенти та умови, вимоги, умовні позначення та термінологію, пов’язані з товарами, роботами чи послугами, що закуповуються, передбачені існуючими міжнародними, європейським</w:t>
      </w:r>
      <w:r>
        <w:rPr>
          <w:rFonts w:ascii="Times New Roman" w:hAnsi="Times New Roman" w:cs="Times New Roman"/>
          <w:i/>
          <w:sz w:val="24"/>
          <w:szCs w:val="24"/>
        </w:rPr>
        <w:t xml:space="preserve">и стандартами, іншими спільними технічними європейськими нормами, іншими технічними еталонними системами, визнаними європейськими органами зі стандартизації або національними стандартами, нормами та правилами – вважати, що міститься вираз «або еквівалент»;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на ко</w:t>
      </w:r>
      <w:r>
        <w:rPr>
          <w:rFonts w:ascii="Times New Roman" w:hAnsi="Times New Roman" w:cs="Times New Roman"/>
          <w:i/>
          <w:sz w:val="24"/>
          <w:szCs w:val="24"/>
        </w:rPr>
        <w:t xml:space="preserve">нкретні марку чи виробника або на конкретний процес, що характеризує продукт чи послугу певного суб’єкта господарювання, чи на торгові марки, патенти, типи або конкретне місце походження чи спосіб виробництва – вважати, що міститься вираз «або еквівалент».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У випадку надання учасником еквіваленту він має надати порівняльну таблицю запропонованих товарів з товарами, які вимагаються Замовником. Якщо Учасник пропонує товар, технічні характеристики якого відрізняються від наведених вище, він повинен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обов’язково надати порівняльну таблицю щодо відповідності технічних характеристик запропонованого товару наведеним Замовником характеристикам. Товар має бути з технічними та якісними характеристиками рівноцінними, або покращеними, ніж визначені Замовником.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5. Обґрунтування розміру бюджетного призначення: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розмір бюджетного призначення визначено Законом України «Про Державний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бюджет України на 2023 рік» за КПКВК 1001050 «Реалізація державної політики у сфері внутрішніх справ, забезпечення виконання завдань і функцій органів, установ та закладів Міністерства внутрішніх справ України» відповідно до бюджетного запиту на 2023 рік.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6. Очікувана вартість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9 600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грн.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дев’ять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тисяч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шістсот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гривень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коп.) з ПДВ.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7. Обґрунтування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очікуваної вартості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Очікувана вартість визначена відповідно до частини 1 та 2 пункту 1 Розділу ІІІ «Методи визначення очікуваної вартості» Примірної методики визначення очікува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ної вартості предмета закупівлі затвердженої Наказом Міністерства розвитку економіки, торгівлі та сільського господарства України 18.02.2020 № 275 та розрахована, як середньоарифметичне значення масиву отриманих даних, що розраховується за такою формулою: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Цод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= (Ц1 +… +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 / К.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8. Процедура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Застосовується процедура відкритих торгів з особливостями.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sectPr>
      <w:footerReference w:type="default" r:id="rId9"/>
      <w:footnotePr/>
      <w:endnotePr/>
      <w:type w:val="nextPage"/>
      <w:pgSz w:w="11906" w:h="16838" w:orient="portrait"/>
      <w:pgMar w:top="709" w:right="851" w:bottom="851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1">
    <w:panose1 w:val="02020603050405020304"/>
  </w:font>
  <w:font w:name="Segoe UI">
    <w:panose1 w:val="020B0502040504020204"/>
  </w:font>
  <w:font w:name="Tms Rmn">
    <w:panose1 w:val="020B060303080402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4"/>
      <w:rPr>
        <w:sz w:val="8"/>
      </w:rPr>
    </w:pPr>
    <w:r>
      <w:rPr>
        <w:sz w:val="8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space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  <w:u w:val="none"/>
      </w:rPr>
    </w:lvl>
  </w:abstractNum>
  <w:abstractNum w:abstractNumId="5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9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5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2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78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space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0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15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200" w:hanging="1440"/>
      </w:pPr>
      <w:rPr>
        <w:rFonts w:hint="default"/>
      </w:rPr>
    </w:lvl>
  </w:abstractNum>
  <w:abstractNum w:abstractNumId="8">
    <w:multiLevelType w:val="hybridMultilevel"/>
    <w:lvl w:ilvl="0">
      <w:start w:val="900"/>
      <w:numFmt w:val="bullet"/>
      <w:isLgl w:val="false"/>
      <w:suff w:val="tab"/>
      <w:lvlText w:val="-"/>
      <w:lvlJc w:val="left"/>
      <w:pPr>
        <w:ind w:left="644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cs="Times New Roman"/>
        <w:b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bullet"/>
      <w:isLgl w:val="false"/>
      <w:suff w:val="space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tab"/>
      <w:lvlText w:val="%1.%2."/>
      <w:lvlJc w:val="left"/>
      <w:pPr>
        <w:ind w:left="716" w:hanging="360"/>
      </w:pPr>
      <w:rPr>
        <w:rFonts w:hint="default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2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4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6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6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32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288" w:hanging="1440"/>
      </w:pPr>
      <w:rPr>
        <w:rFonts w:hint="default"/>
        <w:u w:val="none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583" w:hanging="405"/>
      </w:pPr>
      <w:rPr>
        <w:rFonts w:hint="default"/>
      </w:rPr>
    </w:lvl>
    <w:lvl w:ilvl="2">
      <w:start w:val="4"/>
      <w:numFmt w:val="decimal"/>
      <w:isLgl w:val="false"/>
      <w:suff w:val="space"/>
      <w:lvlText w:val="%1.%2.%3"/>
      <w:lvlJc w:val="left"/>
      <w:pPr>
        <w:ind w:left="1076" w:hanging="720"/>
      </w:pPr>
      <w:rPr>
        <w:rFonts w:hint="default"/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25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432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97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148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68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64" w:hanging="1440"/>
      </w:pPr>
      <w:rPr>
        <w:rFonts w:hint="default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14"/>
  </w:num>
  <w:num w:numId="2">
    <w:abstractNumId w:val="10"/>
  </w:num>
  <w:num w:numId="3">
    <w:abstractNumId w:val="5"/>
  </w:num>
  <w:num w:numId="4">
    <w:abstractNumId w:val="12"/>
  </w:num>
  <w:num w:numId="5">
    <w:abstractNumId w:val="4"/>
  </w:num>
  <w:num w:numId="6">
    <w:abstractNumId w:val="15"/>
  </w:num>
  <w:num w:numId="7">
    <w:abstractNumId w:val="7"/>
  </w:num>
  <w:num w:numId="8">
    <w:abstractNumId w:val="17"/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6"/>
  </w:num>
  <w:num w:numId="13">
    <w:abstractNumId w:val="2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16"/>
  </w:num>
  <w:num w:numId="17">
    <w:abstractNumId w:val="0"/>
  </w:num>
  <w:num w:numId="18">
    <w:abstractNumId w:val="18"/>
  </w:num>
  <w:num w:numId="19">
    <w:abstractNumId w:val="13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683"/>
    <w:next w:val="683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685"/>
    <w:link w:val="12"/>
    <w:uiPriority w:val="9"/>
    <w:rPr>
      <w:rFonts w:ascii="Arial" w:hAnsi="Arial" w:eastAsia="Arial" w:cs="Arial"/>
      <w:sz w:val="40"/>
      <w:szCs w:val="40"/>
    </w:rPr>
  </w:style>
  <w:style w:type="character" w:styleId="15">
    <w:name w:val="Heading 2 Char"/>
    <w:basedOn w:val="685"/>
    <w:link w:val="68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683"/>
    <w:next w:val="683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685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683"/>
    <w:next w:val="683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685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683"/>
    <w:next w:val="683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685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683"/>
    <w:next w:val="683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685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683"/>
    <w:next w:val="683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685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683"/>
    <w:next w:val="683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685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683"/>
    <w:next w:val="683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685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683"/>
    <w:next w:val="683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685"/>
    <w:link w:val="33"/>
    <w:uiPriority w:val="10"/>
    <w:rPr>
      <w:sz w:val="48"/>
      <w:szCs w:val="48"/>
    </w:rPr>
  </w:style>
  <w:style w:type="paragraph" w:styleId="35">
    <w:name w:val="Subtitle"/>
    <w:basedOn w:val="683"/>
    <w:next w:val="683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685"/>
    <w:link w:val="35"/>
    <w:uiPriority w:val="11"/>
    <w:rPr>
      <w:sz w:val="24"/>
      <w:szCs w:val="24"/>
    </w:rPr>
  </w:style>
  <w:style w:type="paragraph" w:styleId="37">
    <w:name w:val="Quote"/>
    <w:basedOn w:val="683"/>
    <w:next w:val="683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683"/>
    <w:next w:val="683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683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685"/>
    <w:link w:val="41"/>
    <w:uiPriority w:val="99"/>
  </w:style>
  <w:style w:type="character" w:styleId="44">
    <w:name w:val="Footer Char"/>
    <w:basedOn w:val="685"/>
    <w:link w:val="694"/>
    <w:uiPriority w:val="99"/>
  </w:style>
  <w:style w:type="paragraph" w:styleId="45">
    <w:name w:val="Caption"/>
    <w:basedOn w:val="683"/>
    <w:next w:val="68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694"/>
    <w:uiPriority w:val="99"/>
  </w:style>
  <w:style w:type="table" w:styleId="48">
    <w:name w:val="Table Grid Light"/>
    <w:basedOn w:val="68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68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68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4">
    <w:name w:val="footnote text"/>
    <w:basedOn w:val="683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685"/>
    <w:uiPriority w:val="99"/>
    <w:unhideWhenUsed/>
    <w:rPr>
      <w:vertAlign w:val="superscript"/>
    </w:rPr>
  </w:style>
  <w:style w:type="paragraph" w:styleId="177">
    <w:name w:val="endnote text"/>
    <w:basedOn w:val="683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685"/>
    <w:uiPriority w:val="99"/>
    <w:semiHidden/>
    <w:unhideWhenUsed/>
    <w:rPr>
      <w:vertAlign w:val="superscript"/>
    </w:rPr>
  </w:style>
  <w:style w:type="paragraph" w:styleId="180">
    <w:name w:val="toc 1"/>
    <w:basedOn w:val="683"/>
    <w:next w:val="683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683"/>
    <w:next w:val="683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683"/>
    <w:next w:val="683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683"/>
    <w:next w:val="683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683"/>
    <w:next w:val="683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683"/>
    <w:next w:val="683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683"/>
    <w:next w:val="683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683"/>
    <w:next w:val="683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683"/>
    <w:next w:val="683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683"/>
    <w:next w:val="683"/>
    <w:uiPriority w:val="99"/>
    <w:unhideWhenUsed/>
    <w:pPr>
      <w:spacing w:after="0" w:afterAutospacing="0"/>
    </w:pPr>
  </w:style>
  <w:style w:type="paragraph" w:styleId="683" w:default="1">
    <w:name w:val="Normal"/>
    <w:qFormat/>
    <w:rPr>
      <w:lang w:val="uk-UA"/>
    </w:rPr>
  </w:style>
  <w:style w:type="paragraph" w:styleId="684">
    <w:name w:val="Heading 2"/>
    <w:basedOn w:val="683"/>
    <w:link w:val="703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character" w:styleId="685" w:default="1">
    <w:name w:val="Default Paragraph Font"/>
    <w:uiPriority w:val="1"/>
    <w:semiHidden/>
    <w:unhideWhenUsed/>
  </w:style>
  <w:style w:type="table" w:styleId="68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7" w:default="1">
    <w:name w:val="No List"/>
    <w:uiPriority w:val="99"/>
    <w:semiHidden/>
    <w:unhideWhenUsed/>
  </w:style>
  <w:style w:type="paragraph" w:styleId="688">
    <w:name w:val="List Paragraph"/>
    <w:basedOn w:val="683"/>
    <w:link w:val="689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Calibri"/>
      <w:lang w:val="ru-RU" w:eastAsia="zh-CN"/>
    </w:rPr>
  </w:style>
  <w:style w:type="character" w:styleId="689" w:customStyle="1">
    <w:name w:val="Абзац списку Знак"/>
    <w:link w:val="688"/>
    <w:uiPriority w:val="34"/>
    <w:rPr>
      <w:rFonts w:ascii="Calibri" w:hAnsi="Calibri" w:eastAsia="Calibri" w:cs="Calibri"/>
      <w:lang w:eastAsia="zh-CN"/>
    </w:rPr>
  </w:style>
  <w:style w:type="table" w:styleId="690">
    <w:name w:val="Table Grid"/>
    <w:basedOn w:val="686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91" w:customStyle="1">
    <w:name w:val="Сетка таблицы2"/>
    <w:basedOn w:val="686"/>
    <w:next w:val="690"/>
    <w:uiPriority w:val="39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92">
    <w:name w:val="Normal (Web)"/>
    <w:basedOn w:val="683"/>
    <w:link w:val="699"/>
    <w:unhideWhenUsed/>
    <w:qFormat/>
    <w:rPr>
      <w:rFonts w:ascii="Times New Roman" w:hAnsi="Times New Roman" w:cs="Times New Roman"/>
      <w:sz w:val="24"/>
      <w:szCs w:val="24"/>
    </w:rPr>
  </w:style>
  <w:style w:type="table" w:styleId="693" w:customStyle="1">
    <w:name w:val="Сетка таблицы1"/>
    <w:basedOn w:val="686"/>
    <w:next w:val="690"/>
    <w:uiPriority w:val="39"/>
    <w:pPr>
      <w:spacing w:after="0" w:line="240" w:lineRule="auto"/>
    </w:pPr>
    <w:rPr>
      <w:rFonts w:ascii="Times New Roman" w:hAnsi="Times New Roman"/>
      <w:sz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94">
    <w:name w:val="Footer"/>
    <w:basedOn w:val="683"/>
    <w:link w:val="695"/>
    <w:uiPriority w:val="99"/>
    <w:unhideWhenUsed/>
    <w:pPr>
      <w:spacing w:after="0" w:line="240" w:lineRule="auto"/>
      <w:tabs>
        <w:tab w:val="center" w:pos="4819" w:leader="none"/>
        <w:tab w:val="right" w:pos="9639" w:leader="none"/>
      </w:tabs>
    </w:pPr>
    <w:rPr>
      <w:rFonts w:ascii="Calibri" w:hAnsi="Calibri" w:eastAsia="Calibri" w:cs="Calibri"/>
      <w:lang w:val="ru-RU" w:eastAsia="zh-CN"/>
    </w:rPr>
  </w:style>
  <w:style w:type="character" w:styleId="695" w:customStyle="1">
    <w:name w:val="Нижній колонтитул Знак"/>
    <w:basedOn w:val="685"/>
    <w:link w:val="694"/>
    <w:uiPriority w:val="99"/>
    <w:rPr>
      <w:rFonts w:ascii="Calibri" w:hAnsi="Calibri" w:eastAsia="Calibri" w:cs="Calibri"/>
      <w:lang w:eastAsia="zh-CN"/>
    </w:rPr>
  </w:style>
  <w:style w:type="paragraph" w:styleId="696" w:customStyle="1">
    <w:name w:val="FR1"/>
    <w:pPr>
      <w:ind w:left="40"/>
      <w:jc w:val="both"/>
      <w:spacing w:after="0" w:line="240" w:lineRule="auto"/>
      <w:widowControl w:val="off"/>
    </w:pPr>
    <w:rPr>
      <w:rFonts w:ascii="Calibri" w:hAnsi="Calibri" w:eastAsia="Calibri" w:cs="Times New Roman"/>
      <w:sz w:val="20"/>
      <w:szCs w:val="20"/>
      <w:lang w:val="uk-UA"/>
    </w:rPr>
  </w:style>
  <w:style w:type="character" w:styleId="697">
    <w:name w:val="Hyperlink"/>
    <w:basedOn w:val="685"/>
    <w:uiPriority w:val="99"/>
    <w:unhideWhenUsed/>
    <w:rPr>
      <w:color w:val="0563c1" w:themeColor="hyperlink"/>
      <w:u w:val="single"/>
    </w:rPr>
  </w:style>
  <w:style w:type="character" w:styleId="698" w:customStyle="1">
    <w:name w:val="xfm_93972720"/>
    <w:basedOn w:val="685"/>
  </w:style>
  <w:style w:type="character" w:styleId="699" w:customStyle="1">
    <w:name w:val="Звичайний (веб) Знак"/>
    <w:link w:val="692"/>
    <w:qFormat/>
    <w:rPr>
      <w:rFonts w:ascii="Times New Roman" w:hAnsi="Times New Roman" w:cs="Times New Roman"/>
      <w:sz w:val="24"/>
      <w:szCs w:val="24"/>
      <w:lang w:val="uk-UA"/>
    </w:rPr>
  </w:style>
  <w:style w:type="paragraph" w:styleId="700">
    <w:name w:val="Body Text 2"/>
    <w:basedOn w:val="683"/>
    <w:link w:val="701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val="ru-RU" w:eastAsia="ru-RU"/>
    </w:rPr>
  </w:style>
  <w:style w:type="character" w:styleId="701" w:customStyle="1">
    <w:name w:val="Основний текст 2 Знак"/>
    <w:basedOn w:val="685"/>
    <w:link w:val="700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02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uk-UA" w:eastAsia="uk-UA"/>
    </w:rPr>
  </w:style>
  <w:style w:type="character" w:styleId="703" w:customStyle="1">
    <w:name w:val="Заголовок 2 Знак"/>
    <w:basedOn w:val="685"/>
    <w:link w:val="684"/>
    <w:uiPriority w:val="9"/>
    <w:rPr>
      <w:rFonts w:ascii="Times New Roman" w:hAnsi="Times New Roman" w:eastAsia="Times New Roman" w:cs="Times New Roman"/>
      <w:b/>
      <w:bCs/>
      <w:sz w:val="36"/>
      <w:szCs w:val="36"/>
      <w:lang w:val="uk-UA" w:eastAsia="uk-UA"/>
    </w:rPr>
  </w:style>
  <w:style w:type="paragraph" w:styleId="704">
    <w:name w:val="No Spacing"/>
    <w:link w:val="705"/>
    <w:uiPriority w:val="1"/>
    <w:qFormat/>
    <w:pPr>
      <w:spacing w:after="0" w:line="240" w:lineRule="auto"/>
    </w:pPr>
    <w:rPr>
      <w:rFonts w:ascii="Calibri" w:hAnsi="Calibri" w:eastAsia="Calibri" w:cs="Times New Roman"/>
      <w:lang w:val="uk-UA"/>
    </w:rPr>
  </w:style>
  <w:style w:type="character" w:styleId="705" w:customStyle="1">
    <w:name w:val="Без інтервалів Знак"/>
    <w:basedOn w:val="685"/>
    <w:link w:val="704"/>
    <w:uiPriority w:val="1"/>
    <w:rPr>
      <w:rFonts w:ascii="Calibri" w:hAnsi="Calibri" w:eastAsia="Calibri" w:cs="Times New Roman"/>
      <w:lang w:val="uk-UA"/>
    </w:rPr>
  </w:style>
  <w:style w:type="character" w:styleId="706" w:customStyle="1">
    <w:name w:val="Другое_"/>
    <w:basedOn w:val="685"/>
    <w:link w:val="707"/>
    <w:rPr>
      <w:rFonts w:ascii="Calibri" w:hAnsi="Calibri" w:eastAsia="Calibri" w:cs="Calibri"/>
      <w:sz w:val="20"/>
      <w:szCs w:val="20"/>
    </w:rPr>
  </w:style>
  <w:style w:type="paragraph" w:styleId="707" w:customStyle="1">
    <w:name w:val="Другое"/>
    <w:basedOn w:val="683"/>
    <w:link w:val="706"/>
    <w:qFormat/>
    <w:pPr>
      <w:spacing w:after="0" w:line="240" w:lineRule="auto"/>
      <w:widowControl w:val="off"/>
    </w:pPr>
    <w:rPr>
      <w:rFonts w:ascii="Calibri" w:hAnsi="Calibri" w:eastAsia="Calibri" w:cs="Calibri"/>
      <w:sz w:val="20"/>
      <w:szCs w:val="20"/>
      <w:lang w:val="ru-RU"/>
    </w:rPr>
  </w:style>
  <w:style w:type="paragraph" w:styleId="708" w:customStyle="1">
    <w:name w:val="Звичайний1"/>
    <w:qFormat/>
    <w:pPr>
      <w:spacing w:after="0" w:line="240" w:lineRule="auto"/>
    </w:pPr>
    <w:rPr>
      <w:rFonts w:ascii="Tms Rmn" w:hAnsi="Tms Rmn" w:eastAsia="Times New Roman" w:cs="Times New Roman"/>
      <w:sz w:val="20"/>
      <w:szCs w:val="20"/>
      <w:lang w:val="uk-UA" w:eastAsia="ru-RU" w:bidi="te-IN"/>
    </w:rPr>
  </w:style>
  <w:style w:type="character" w:styleId="709" w:customStyle="1">
    <w:name w:val="Основной текст (2)_"/>
    <w:basedOn w:val="685"/>
    <w:link w:val="710"/>
    <w:rPr>
      <w:rFonts w:eastAsia="Times New Roman" w:cs="Times New Roman"/>
      <w:shd w:val="clear" w:color="auto" w:fill="ffffff"/>
    </w:rPr>
  </w:style>
  <w:style w:type="paragraph" w:styleId="710" w:customStyle="1">
    <w:name w:val="Основной текст (2)"/>
    <w:basedOn w:val="683"/>
    <w:link w:val="709"/>
    <w:pPr>
      <w:ind w:hanging="700"/>
      <w:jc w:val="both"/>
      <w:spacing w:before="240" w:after="480" w:line="0" w:lineRule="atLeast"/>
      <w:shd w:val="clear" w:color="auto" w:fill="ffffff"/>
      <w:widowControl w:val="off"/>
    </w:pPr>
    <w:rPr>
      <w:rFonts w:eastAsia="Times New Roman" w:cs="Times New Roman"/>
      <w:lang w:val="ru-RU"/>
    </w:rPr>
  </w:style>
  <w:style w:type="character" w:styleId="711" w:customStyle="1">
    <w:name w:val="Текст у виносці Знак"/>
    <w:basedOn w:val="685"/>
    <w:link w:val="712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712">
    <w:name w:val="Balloon Text"/>
    <w:basedOn w:val="683"/>
    <w:link w:val="711"/>
    <w:uiPriority w:val="99"/>
    <w:semiHidden/>
    <w:unhideWhenUsed/>
    <w:pPr>
      <w:spacing w:after="0" w:line="240" w:lineRule="auto"/>
      <w:widowControl w:val="off"/>
    </w:pPr>
    <w:rPr>
      <w:rFonts w:ascii="Segoe UI" w:hAnsi="Segoe UI" w:eastAsia="Times New Roman" w:cs="Segoe UI"/>
      <w:sz w:val="18"/>
      <w:szCs w:val="18"/>
      <w:lang w:val="ru-RU" w:eastAsia="ru-RU"/>
    </w:rPr>
  </w:style>
  <w:style w:type="character" w:styleId="713" w:customStyle="1">
    <w:name w:val="Текст у виносці Знак1"/>
    <w:basedOn w:val="685"/>
    <w:uiPriority w:val="99"/>
    <w:semiHidden/>
    <w:rPr>
      <w:rFonts w:ascii="Segoe UI" w:hAnsi="Segoe UI" w:cs="Segoe UI"/>
      <w:sz w:val="18"/>
      <w:szCs w:val="18"/>
      <w:lang w:val="uk-UA"/>
    </w:rPr>
  </w:style>
  <w:style w:type="character" w:styleId="714" w:customStyle="1">
    <w:name w:val="T23"/>
    <w:rPr>
      <w:rFonts w:hint="default" w:ascii="Times New Roman" w:hAnsi="Times New Roman" w:eastAsia="Times New Roman1" w:cs="Times New Roma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C65B9-6C17-4B00-95F1-8E64DA363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ONLYOFFICE/7.2.2.56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ВЮС 2</dc:creator>
  <cp:keywords/>
  <dc:description/>
  <cp:lastModifiedBy>Павріанідіс Аліса Віталіївна</cp:lastModifiedBy>
  <cp:revision>145</cp:revision>
  <dcterms:created xsi:type="dcterms:W3CDTF">2022-11-01T12:47:00Z</dcterms:created>
  <dcterms:modified xsi:type="dcterms:W3CDTF">2023-09-14T07:17:43Z</dcterms:modified>
</cp:coreProperties>
</file>