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sz w:val="24"/>
          <w:szCs w:val="24"/>
        </w:rPr>
        <w:t xml:space="preserve">Вулична огорожа, освітлення та вулична урна для сміття зі встановленням за кодом CPV за ЄЗС ДК 021:2015: 34920000-2 Дорожнє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012016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Вулична огорожа, освітлення та вулична урна для сміття зі встановлення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6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71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Вулична</w:t>
            </w:r>
            <w:r>
              <w:rPr>
                <w:b/>
                <w:bCs/>
                <w:lang w:val="ru-RU"/>
              </w:rPr>
              <w:t xml:space="preserve"> огорожа, </w:t>
            </w:r>
            <w:r>
              <w:rPr>
                <w:b/>
                <w:bCs/>
                <w:lang w:val="ru-RU"/>
              </w:rPr>
              <w:t xml:space="preserve">освітлення</w:t>
            </w:r>
            <w:r>
              <w:rPr>
                <w:b/>
                <w:bCs/>
                <w:lang w:val="ru-RU"/>
              </w:rPr>
              <w:t xml:space="preserve"> та </w:t>
            </w:r>
            <w:r>
              <w:rPr>
                <w:b/>
                <w:bCs/>
                <w:lang w:val="ru-RU"/>
              </w:rPr>
              <w:t xml:space="preserve">вулична</w:t>
            </w:r>
            <w:r>
              <w:rPr>
                <w:b/>
                <w:bCs/>
                <w:lang w:val="ru-RU"/>
              </w:rPr>
              <w:t xml:space="preserve"> урна для </w:t>
            </w:r>
            <w:r>
              <w:rPr>
                <w:b/>
                <w:bCs/>
                <w:lang w:val="ru-RU"/>
              </w:rPr>
              <w:t xml:space="preserve">сміття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зі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встановленням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</w:tbl>
    <w:p>
      <w:pPr>
        <w:pStyle w:val="671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7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 та введення в експлуатацію Товару.</w:t>
      </w:r>
      <w:r/>
    </w:p>
    <w:p>
      <w:pPr>
        <w:pStyle w:val="671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Всі необхідні витратні матеріали, що необхідні для встановлення обладнання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За необхідності Учасник може за домовленістю із Замовником відвідати та оглянути об’єкт Замовника де необхідно поставити та встановити Товар.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 складі пропозиції просимо надати візуалізацію та/або картинку та/або фото Товару, що пропонується Учасником у складі тендерної пропозиції.</w:t>
      </w:r>
      <w:r/>
    </w:p>
    <w:p>
      <w:pPr>
        <w:pStyle w:val="667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67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67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67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71" w:type="dxa"/>
        <w:tblLook w:val="04A0" w:firstRow="1" w:lastRow="0" w:firstColumn="1" w:lastColumn="0" w:noHBand="0" w:noVBand="1"/>
      </w:tblPr>
      <w:tblGrid>
        <w:gridCol w:w="715"/>
        <w:gridCol w:w="6567"/>
        <w:gridCol w:w="1129"/>
        <w:gridCol w:w="1260"/>
      </w:tblGrid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Вулична огорожа, освітлення та вулична урна для сміття,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Огорожа: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гірше)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Комплектація: металеві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жалюзі, П-подібний профіль, елементи кріплення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Товщина металу: від 0,45 мм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1000мм: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35 мм (видима полка)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Крок розміщення: 90-100 мм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Товщина готової секції: 55 мм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 мм (труба 60*60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покрашена) – 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2000*2000 мм (жалюзі, 35 мм) – 124 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Освітлення: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гірше)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Стиль: класичний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Температурний режим: -30/+50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ламп: ЛЕД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Висота: 350 см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Потужність: 30 Вт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Світловий потік: 2700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lm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світодіодів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SMD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розсіювання: 120 градусів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корпусу: Сірий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Ступінь захисту: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65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корпусу: Алюміній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Напруга: 85-265 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служби: 30 000 год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горіння: холодний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Чіп: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Philips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Вуличні урни: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гірше)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Урна для сміття бетонна 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1 391 524,52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триста дев’яносто одна тисяча п’ятсот двадцять чотири гривні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character" w:styleId="45">
    <w:name w:val="Footer Char"/>
    <w:basedOn w:val="664"/>
    <w:link w:val="673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lang w:val="uk-UA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List Paragraph"/>
    <w:basedOn w:val="663"/>
    <w:link w:val="668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8" w:customStyle="1">
    <w:name w:val="Абзац списку Знак"/>
    <w:link w:val="667"/>
    <w:uiPriority w:val="99"/>
    <w:rPr>
      <w:rFonts w:ascii="Calibri" w:hAnsi="Calibri" w:eastAsia="Calibri" w:cs="Calibri"/>
      <w:lang w:eastAsia="zh-CN"/>
    </w:rPr>
  </w:style>
  <w:style w:type="table" w:styleId="669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0" w:customStyle="1">
    <w:name w:val="Сетка таблицы2"/>
    <w:basedOn w:val="665"/>
    <w:next w:val="66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Normal (Web)"/>
    <w:basedOn w:val="663"/>
    <w:link w:val="678"/>
    <w:unhideWhenUsed/>
    <w:qFormat/>
    <w:rPr>
      <w:rFonts w:ascii="Times New Roman" w:hAnsi="Times New Roman" w:cs="Times New Roman"/>
      <w:sz w:val="24"/>
      <w:szCs w:val="24"/>
    </w:rPr>
  </w:style>
  <w:style w:type="table" w:styleId="672" w:customStyle="1">
    <w:name w:val="Сетка таблицы1"/>
    <w:basedOn w:val="665"/>
    <w:next w:val="66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Footer"/>
    <w:basedOn w:val="663"/>
    <w:link w:val="67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4" w:customStyle="1">
    <w:name w:val="Нижній колонтитул Знак"/>
    <w:basedOn w:val="664"/>
    <w:link w:val="673"/>
    <w:uiPriority w:val="99"/>
    <w:rPr>
      <w:rFonts w:ascii="Calibri" w:hAnsi="Calibri" w:eastAsia="Calibri" w:cs="Calibri"/>
      <w:lang w:eastAsia="zh-CN"/>
    </w:rPr>
  </w:style>
  <w:style w:type="paragraph" w:styleId="67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6">
    <w:name w:val="Hyperlink"/>
    <w:basedOn w:val="664"/>
    <w:uiPriority w:val="99"/>
    <w:unhideWhenUsed/>
    <w:rPr>
      <w:color w:val="0563c1" w:themeColor="hyperlink"/>
      <w:u w:val="single"/>
    </w:rPr>
  </w:style>
  <w:style w:type="character" w:styleId="677" w:customStyle="1">
    <w:name w:val="xfm_93972720"/>
    <w:basedOn w:val="664"/>
  </w:style>
  <w:style w:type="character" w:styleId="678" w:customStyle="1">
    <w:name w:val="Звичайний (веб) Знак"/>
    <w:link w:val="671"/>
    <w:qFormat/>
    <w:rPr>
      <w:rFonts w:ascii="Times New Roman" w:hAnsi="Times New Roman" w:cs="Times New Roman"/>
      <w:sz w:val="24"/>
      <w:szCs w:val="24"/>
      <w:lang w:val="uk-UA"/>
    </w:rPr>
  </w:style>
  <w:style w:type="character" w:styleId="679" w:customStyle="1">
    <w:name w:val="Другое_"/>
    <w:basedOn w:val="664"/>
    <w:link w:val="680"/>
    <w:rPr>
      <w:rFonts w:ascii="Calibri" w:hAnsi="Calibri" w:eastAsia="Calibri" w:cs="Calibri"/>
      <w:sz w:val="20"/>
      <w:szCs w:val="20"/>
    </w:rPr>
  </w:style>
  <w:style w:type="paragraph" w:styleId="680" w:customStyle="1">
    <w:name w:val="Другое"/>
    <w:basedOn w:val="663"/>
    <w:link w:val="679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54</cp:revision>
  <dcterms:created xsi:type="dcterms:W3CDTF">2022-11-01T12:47:00Z</dcterms:created>
  <dcterms:modified xsi:type="dcterms:W3CDTF">2023-05-01T08:27:49Z</dcterms:modified>
</cp:coreProperties>
</file>