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Виготовлення </w:t>
      </w:r>
      <w:r>
        <w:rPr>
          <w:b w:val="0"/>
          <w:bCs w:val="0"/>
          <w:color w:val="000000"/>
          <w:sz w:val="24"/>
          <w:szCs w:val="24"/>
        </w:rPr>
        <w:t xml:space="preserve">проєктної</w:t>
      </w:r>
      <w:r>
        <w:rPr>
          <w:b w:val="0"/>
          <w:bCs w:val="0"/>
          <w:color w:val="000000"/>
          <w:sz w:val="24"/>
          <w:szCs w:val="24"/>
        </w:rPr>
        <w:t xml:space="preserve"> документації по об’єкту: «Капітальний ремонт будівлі закритого складу літ. «М», м. Київ, вул. Волинська, 26» за кодом CPV за ЄЗС ДК 021:2015: 71320000-7 «Послуги з інженерного проектування»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000783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Виготовлення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проєктної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документації по об’єкту: «Капітальний ремонт будівлі закритого складу літ. «М», м. Київ, вул. Волинська, 26» за кодом CPV за ЄЗС ДК 021:2015: 71320000-7 «Послуги з інженерного проектування»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pStyle w:val="82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ЗАВДАННЯ НА ПРОЄКТУВАННЯ</w:t>
      </w:r>
      <w:r/>
    </w:p>
    <w:p>
      <w:pPr>
        <w:pStyle w:val="824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Виготовлення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проєктної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документації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об’єкту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Капітальний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ремонт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будівлі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закритого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складу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літ</w:t>
      </w:r>
      <w:r>
        <w:rPr>
          <w:b/>
          <w:sz w:val="28"/>
          <w:szCs w:val="28"/>
        </w:rPr>
        <w:t xml:space="preserve">. «М», м. </w:t>
      </w:r>
      <w:r>
        <w:rPr>
          <w:b/>
          <w:sz w:val="28"/>
          <w:szCs w:val="28"/>
        </w:rPr>
        <w:t xml:space="preserve">Київ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вул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Волинська</w:t>
      </w:r>
      <w:r>
        <w:rPr>
          <w:b/>
          <w:sz w:val="28"/>
          <w:szCs w:val="28"/>
        </w:rPr>
        <w:t xml:space="preserve">, 26» </w:t>
      </w:r>
      <w:r>
        <w:rPr>
          <w:b/>
          <w:sz w:val="28"/>
          <w:szCs w:val="28"/>
        </w:rPr>
        <w:t xml:space="preserve">за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кодом</w:t>
      </w:r>
      <w:r>
        <w:rPr>
          <w:b/>
          <w:sz w:val="28"/>
          <w:szCs w:val="28"/>
        </w:rPr>
        <w:t xml:space="preserve"> CPV </w:t>
      </w:r>
      <w:r>
        <w:rPr>
          <w:b/>
          <w:sz w:val="28"/>
          <w:szCs w:val="28"/>
        </w:rPr>
        <w:t xml:space="preserve">за</w:t>
      </w:r>
      <w:r>
        <w:rPr>
          <w:b/>
          <w:sz w:val="28"/>
          <w:szCs w:val="28"/>
        </w:rPr>
        <w:t xml:space="preserve"> ЄЗС ДК 021:2015:</w:t>
      </w:r>
      <w:r>
        <w:rPr>
          <w:b/>
          <w:bCs/>
          <w:color w:val="000000"/>
          <w:sz w:val="28"/>
          <w:szCs w:val="28"/>
        </w:rPr>
        <w:t xml:space="preserve"> 71320000-7 «</w:t>
      </w:r>
      <w:r>
        <w:rPr>
          <w:b/>
          <w:sz w:val="28"/>
          <w:szCs w:val="28"/>
        </w:rPr>
        <w:t xml:space="preserve">Послуги</w:t>
      </w:r>
      <w:r>
        <w:rPr>
          <w:b/>
          <w:sz w:val="28"/>
          <w:szCs w:val="28"/>
        </w:rPr>
        <w:t xml:space="preserve"> з </w:t>
      </w:r>
      <w:r>
        <w:rPr>
          <w:b/>
          <w:sz w:val="28"/>
          <w:szCs w:val="28"/>
        </w:rPr>
        <w:t xml:space="preserve">інженерного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проектування</w:t>
      </w:r>
      <w:r>
        <w:rPr>
          <w:b/>
          <w:bCs/>
          <w:color w:val="000000"/>
          <w:sz w:val="28"/>
          <w:szCs w:val="28"/>
        </w:rPr>
        <w:t xml:space="preserve">»</w:t>
      </w:r>
      <w:r/>
    </w:p>
    <w:p>
      <w:pPr>
        <w:jc w:val="center"/>
        <w:tabs>
          <w:tab w:val="left" w:pos="3045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85" w:type="dxa"/>
          <w:right w:w="85" w:type="dxa"/>
        </w:tblCellMar>
        <w:tblLook w:val="0020" w:firstRow="1" w:lastRow="0" w:firstColumn="0" w:lastColumn="0" w:noHBand="0" w:noVBand="0"/>
      </w:tblPr>
      <w:tblGrid>
        <w:gridCol w:w="548"/>
        <w:gridCol w:w="3592"/>
        <w:gridCol w:w="5636"/>
      </w:tblGrid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Перелік основних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відомостей та вимог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 основних відомостей та  вимог 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та місцезнаходження об’єкту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Капітальний ремонт будівлі закритого складу літ. «М», м. Київ, вул. Волинська, 26» за кодом CPV за ЄЗС ДК 021:2015: 71320000-7 «Послуги з інженерного проектування»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Підстава для проектування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Договір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будівництва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замовника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УСТАНОВА «ЦЕНТР ІНФРАСТРУКТУРИ ТА ТЕХНОЛОГІЙ МІНІСТЕРСТВА ВНУТРІШНІХ СПРАВ УКРАЇНИ»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фінансування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Державний бюджет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генерального проектувальника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Марунчак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Юрійович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Стадійність проектування з визначенням затверджуваної стадії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ind w:firstLine="33"/>
              <w:jc w:val="both"/>
              <w:spacing w:after="0" w:line="240" w:lineRule="auto"/>
              <w:tabs>
                <w:tab w:val="left" w:pos="385" w:leader="none"/>
              </w:tabs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uk-UA"/>
              </w:rPr>
              <w:t xml:space="preserve">Одна стадія “Робочий проект”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Інженерні вишукування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Інженерно-геодезичні вишукування</w:t>
            </w:r>
            <w:r/>
          </w:p>
        </w:tc>
      </w:tr>
      <w:tr>
        <w:trPr>
          <w:trHeight w:val="121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особливості умови будівництва( сейсмічність, просадні ґрунти підроблю вальні і підтоплю вальні території тощо).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trHeight w:val="116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класу наслідків (відповідальності) і встановленого строку експлуатації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Виконати розрахунки відповідно вимог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ДСТУ-Н Б.В.1.2-16:2019 «Визначення класу наслідків (відповідальності) та категорії складності об’єктів будівництва»</w:t>
            </w:r>
            <w:r/>
          </w:p>
        </w:tc>
      </w:tr>
      <w:tr>
        <w:trPr>
          <w:trHeight w:val="51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особливі умови будівництва 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trHeight w:val="7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Основні архітектурно-планувальні вимоги і характеристики запроектованого об’єкта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Заміна всіх дерев’яних вікон та дверей будівлі на металопластикові з покращеною енергоефективністю;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віконних отворів у зовнішніх стінах 2го поверху;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Розширення існуючих віконних отворів;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вхідної групи з навісом;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Демонтаж та заміна навісу над входом;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зовнішніх сходів та парапету;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цегляної кладки з повною або частковою заміною;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Утеплення частини фасаду;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оздоблення фасаду;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покрівлі з частковою заміною пиріжка покрівлі (без втручання в несучі конструкції);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зовнішніх сходів на покрівлю;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вимощення навколо будівлі;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Заміна системи дощової каналізації;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Заміна всіх внутрішніх дверей;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Заміна фінішного покриття підлоги в усіх приміщеннях будівлі;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фінішного покриття стелі в усіх приміщеннях;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внутрішніх стін всіх приміщень  з улаштуванням фінішного покриття;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санітарних приборів в санвузлах;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сходової клітини;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Заміна огородження сходів;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Демонтаж внутрішніх перегородок;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нових перегородок відповідно до планувальних рішень;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Встановлення системи кондиціювання;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Заміна існуючої системи опалення на електричні конвектори;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Заміна внутрішніх мереж каналізації та водопроводу;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Заміна електротехнічної мережі будівлі;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системи СКС,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відеонагляду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системи протипожежної сигналізації;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зовнішніх протипожежних дверей;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вимощення навколо будівлі;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гідроізоляції приміщень;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приміщення с/в та санітарних приборів;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стелі з закладанням люка;</w:t>
            </w:r>
            <w:r/>
          </w:p>
          <w:p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Встановлення системи кондиціювання;</w:t>
            </w:r>
            <w:r/>
          </w:p>
        </w:tc>
      </w:tr>
      <w:tr>
        <w:trPr>
          <w:trHeight w:val="94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Черговість будівництва, необхідність виділення пускових комплексів 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одну чергу 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gridSpan w:val="2"/>
            <w:tcW w:w="92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Вказівки про необхідність: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розроблення індивідуальних технічних вимог;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Розроблення окремих проектних рішень у декількох варіантах і на конкурсній основі;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92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Попередні погодження проектних рішень;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101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4). Виконання демонстраційних матеріалів, макетів, креслень, інтер’єрів, їх склад та форма;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5). Виконання науково-дослідних та дослідно-експериментальних робіт у процесі проектування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Відсутні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6). Технічний захист інформації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діючого договору</w:t>
            </w:r>
            <w:r/>
          </w:p>
        </w:tc>
      </w:tr>
      <w:tr>
        <w:trPr>
          <w:trHeight w:val="15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 або характеристика об’єкта, виробнича програма.</w:t>
            </w:r>
            <w:r/>
          </w:p>
        </w:tc>
        <w:tc>
          <w:tcPr>
            <w:tcW w:w="56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Визначається  згідно ДБН А.2.2-3-2014 «Склад та зміст проектної документації на будівництво».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 до благоустрою майданчика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15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інженерного захисту територій та об’єктів, виробнича програма.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15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щодо розроблення розділу «Оцінка впливу на  навколишнє середовище».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1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з енергозбереження та енергоефективності.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 </w:t>
            </w:r>
            <w:r/>
          </w:p>
        </w:tc>
      </w:tr>
      <w:tr>
        <w:trPr>
          <w:trHeight w:val="12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технології і (або) науково-дослідні роботи, які пропонує застосувати  замовник.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14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режиму безпеки та охорони праці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</w:t>
            </w:r>
            <w:r/>
          </w:p>
        </w:tc>
      </w:tr>
      <w:tr>
        <w:trPr>
          <w:trHeight w:val="1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 до розробки розділу інженерно-технічних заходів з цивільного захисту (цивільної оборони)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систем протипожежного захисту об’єкту.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діючого законодавства 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Містобудівні вимоги щодо території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 (роботи виконуються в межах існуючих фундаментів будівель)</w:t>
            </w:r>
            <w:r/>
          </w:p>
        </w:tc>
      </w:tr>
      <w:tr>
        <w:trPr>
          <w:trHeight w:val="15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нежитлових будівель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Складські приміщення </w:t>
            </w:r>
            <w:r/>
          </w:p>
        </w:tc>
      </w:tr>
      <w:tr>
        <w:trPr>
          <w:trHeight w:val="15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інклюзивності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об’єкту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41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trHeight w:val="5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Перелік будинків і споруд що проектуються у складі комплексу.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Закритий склад літ. «М»</w:t>
            </w:r>
            <w:r/>
          </w:p>
        </w:tc>
      </w:tr>
      <w:tr>
        <w:trPr>
          <w:trHeight w:val="19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примірників кошторисної документації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примірники в паперовому виді та 1 електронний носій</w:t>
            </w:r>
            <w:r/>
          </w:p>
        </w:tc>
      </w:tr>
      <w:tr>
        <w:trPr>
          <w:trHeight w:val="19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Основні вимоги до проектування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Розробити наступні розділи: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Генеральний план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Архітектурні рішення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Архітектура інтер'єрів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Кошторисна документація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Водопровід і каналізація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Електротехнічні рішення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Опалення, вентиляція, та кондиціонування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слабкострумових мереж.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Відеоспостереження. Контроль доступу</w:t>
            </w:r>
            <w:r/>
          </w:p>
        </w:tc>
      </w:tr>
      <w:tr>
        <w:trPr>
          <w:trHeight w:val="12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/>
          </w:p>
        </w:tc>
        <w:tc>
          <w:tcPr>
            <w:tcW w:w="35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кошторисної документації.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Відомість обсягів основних будівельних робіт та будівельних матеріалів.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Виконати розрахунок вартості об’єкта будівництва у поточних цінах 2023 року з врахуванням вимог чинного законодавства.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 складанні кошторису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проектно-вишукувальні роботи, який визначається за формою 3-П”, при розрахунку вартості одного людино-дня користуватися настанови з визначення вартості проектних, науково проектних, вишукувальних робіт та експертизи проектної документації на будівництво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Обов’язково надати «Розрахунок загальновиробничих та адміністративних витрат» за попередній період у разі включення зазначених показників до кошторису на проектно-вишукувальні роботи.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346 908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сорок шість тисяч дев’ятсот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36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ascii="Times New Roman" w:hAnsi="Times New Roman" w:eastAsia="Times New Roman" w:cs="Times New Roman"/>
        <w:sz w:val="24"/>
      </w:rPr>
    </w:lvl>
    <w:lvl w:ilvl="1">
      <w:start w:val="2"/>
      <w:numFmt w:val="decimal"/>
      <w:isLgl/>
      <w:suff w:val="tab"/>
      <w:lvlText w:val="%1.%2."/>
      <w:lvlJc w:val="left"/>
      <w:pPr>
        <w:ind w:left="1188" w:hanging="468"/>
      </w:pPr>
      <w:rPr>
        <w:rFonts w:hint="default"/>
        <w:sz w:val="24"/>
        <w:szCs w:val="24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3"/>
  </w:num>
  <w:num w:numId="2">
    <w:abstractNumId w:val="19"/>
  </w:num>
  <w:num w:numId="3">
    <w:abstractNumId w:val="7"/>
  </w:num>
  <w:num w:numId="4">
    <w:abstractNumId w:val="27"/>
  </w:num>
  <w:num w:numId="5">
    <w:abstractNumId w:val="6"/>
  </w:num>
  <w:num w:numId="6">
    <w:abstractNumId w:val="34"/>
  </w:num>
  <w:num w:numId="7">
    <w:abstractNumId w:val="11"/>
  </w:num>
  <w:num w:numId="8">
    <w:abstractNumId w:val="36"/>
  </w:num>
  <w:num w:numId="9">
    <w:abstractNumId w:val="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5"/>
  </w:num>
  <w:num w:numId="17">
    <w:abstractNumId w:val="0"/>
  </w:num>
  <w:num w:numId="18">
    <w:abstractNumId w:val="38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9"/>
  </w:num>
  <w:num w:numId="25">
    <w:abstractNumId w:val="21"/>
  </w:num>
  <w:num w:numId="26">
    <w:abstractNumId w:val="25"/>
  </w:num>
  <w:num w:numId="27">
    <w:abstractNumId w:val="31"/>
  </w:num>
  <w:num w:numId="28">
    <w:abstractNumId w:val="23"/>
  </w:num>
  <w:num w:numId="29">
    <w:abstractNumId w:val="32"/>
  </w:num>
  <w:num w:numId="30">
    <w:abstractNumId w:val="17"/>
  </w:num>
  <w:num w:numId="31">
    <w:abstractNumId w:val="2"/>
  </w:num>
  <w:num w:numId="32">
    <w:abstractNumId w:val="37"/>
  </w:num>
  <w:num w:numId="33">
    <w:abstractNumId w:val="14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8"/>
  </w:num>
  <w:num w:numId="38">
    <w:abstractNumId w:val="30"/>
  </w:num>
  <w:num w:numId="39">
    <w:abstractNumId w:val="20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3"/>
    <w:next w:val="72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5"/>
    <w:link w:val="72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23"/>
    <w:next w:val="72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2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23"/>
    <w:next w:val="72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2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3"/>
    <w:next w:val="72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3"/>
    <w:next w:val="72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3"/>
    <w:next w:val="72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3"/>
    <w:next w:val="72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3"/>
    <w:next w:val="72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3"/>
    <w:next w:val="72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5"/>
    <w:link w:val="33"/>
    <w:uiPriority w:val="10"/>
    <w:rPr>
      <w:sz w:val="48"/>
      <w:szCs w:val="48"/>
    </w:rPr>
  </w:style>
  <w:style w:type="paragraph" w:styleId="35">
    <w:name w:val="Subtitle"/>
    <w:basedOn w:val="723"/>
    <w:next w:val="72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5"/>
    <w:link w:val="35"/>
    <w:uiPriority w:val="11"/>
    <w:rPr>
      <w:sz w:val="24"/>
      <w:szCs w:val="24"/>
    </w:rPr>
  </w:style>
  <w:style w:type="paragraph" w:styleId="37">
    <w:name w:val="Quote"/>
    <w:basedOn w:val="723"/>
    <w:next w:val="72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3"/>
    <w:next w:val="72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25"/>
    <w:link w:val="766"/>
    <w:uiPriority w:val="99"/>
  </w:style>
  <w:style w:type="character" w:styleId="44">
    <w:name w:val="Footer Char"/>
    <w:basedOn w:val="725"/>
    <w:link w:val="734"/>
    <w:uiPriority w:val="99"/>
  </w:style>
  <w:style w:type="paragraph" w:styleId="45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4"/>
    <w:uiPriority w:val="99"/>
  </w:style>
  <w:style w:type="table" w:styleId="48">
    <w:name w:val="Table Grid Light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5"/>
    <w:uiPriority w:val="99"/>
    <w:unhideWhenUsed/>
    <w:rPr>
      <w:vertAlign w:val="superscript"/>
    </w:rPr>
  </w:style>
  <w:style w:type="paragraph" w:styleId="177">
    <w:name w:val="endnote text"/>
    <w:basedOn w:val="72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5"/>
    <w:uiPriority w:val="99"/>
    <w:semiHidden/>
    <w:unhideWhenUsed/>
    <w:rPr>
      <w:vertAlign w:val="superscript"/>
    </w:rPr>
  </w:style>
  <w:style w:type="paragraph" w:styleId="180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qFormat/>
    <w:rPr>
      <w:lang w:val="uk-UA"/>
    </w:rPr>
  </w:style>
  <w:style w:type="paragraph" w:styleId="724">
    <w:name w:val="Heading 2"/>
    <w:basedOn w:val="723"/>
    <w:link w:val="74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paragraph" w:styleId="728">
    <w:name w:val="List Paragraph"/>
    <w:basedOn w:val="723"/>
    <w:link w:val="729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9" w:customStyle="1">
    <w:name w:val="Абзац списку Знак"/>
    <w:link w:val="728"/>
    <w:uiPriority w:val="99"/>
    <w:qFormat/>
    <w:rPr>
      <w:rFonts w:ascii="Calibri" w:hAnsi="Calibri" w:eastAsia="Calibri" w:cs="Calibri"/>
      <w:lang w:eastAsia="zh-CN"/>
    </w:rPr>
  </w:style>
  <w:style w:type="table" w:styleId="730">
    <w:name w:val="Table Grid"/>
    <w:basedOn w:val="72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1" w:customStyle="1">
    <w:name w:val="Сетка таблицы2"/>
    <w:basedOn w:val="726"/>
    <w:next w:val="73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2">
    <w:name w:val="Normal (Web)"/>
    <w:basedOn w:val="723"/>
    <w:link w:val="739"/>
    <w:unhideWhenUsed/>
    <w:qFormat/>
    <w:rPr>
      <w:rFonts w:ascii="Times New Roman" w:hAnsi="Times New Roman" w:cs="Times New Roman"/>
      <w:sz w:val="24"/>
      <w:szCs w:val="24"/>
    </w:rPr>
  </w:style>
  <w:style w:type="table" w:styleId="733" w:customStyle="1">
    <w:name w:val="Сетка таблицы1"/>
    <w:basedOn w:val="726"/>
    <w:next w:val="73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4">
    <w:name w:val="Footer"/>
    <w:basedOn w:val="723"/>
    <w:link w:val="73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5" w:customStyle="1">
    <w:name w:val="Нижній колонтитул Знак"/>
    <w:basedOn w:val="725"/>
    <w:link w:val="734"/>
    <w:uiPriority w:val="99"/>
    <w:rPr>
      <w:rFonts w:ascii="Calibri" w:hAnsi="Calibri" w:eastAsia="Calibri" w:cs="Calibri"/>
      <w:lang w:eastAsia="zh-CN"/>
    </w:rPr>
  </w:style>
  <w:style w:type="paragraph" w:styleId="73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7">
    <w:name w:val="Hyperlink"/>
    <w:basedOn w:val="725"/>
    <w:uiPriority w:val="99"/>
    <w:unhideWhenUsed/>
    <w:rPr>
      <w:color w:val="0563c1" w:themeColor="hyperlink"/>
      <w:u w:val="single"/>
    </w:rPr>
  </w:style>
  <w:style w:type="character" w:styleId="738" w:customStyle="1">
    <w:name w:val="xfm_93972720"/>
    <w:basedOn w:val="725"/>
  </w:style>
  <w:style w:type="character" w:styleId="739" w:customStyle="1">
    <w:name w:val="Звичайний (веб) Знак"/>
    <w:link w:val="732"/>
    <w:qFormat/>
    <w:rPr>
      <w:rFonts w:ascii="Times New Roman" w:hAnsi="Times New Roman" w:cs="Times New Roman"/>
      <w:sz w:val="24"/>
      <w:szCs w:val="24"/>
      <w:lang w:val="uk-UA"/>
    </w:rPr>
  </w:style>
  <w:style w:type="paragraph" w:styleId="740">
    <w:name w:val="Body Text 2"/>
    <w:basedOn w:val="723"/>
    <w:link w:val="74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1" w:customStyle="1">
    <w:name w:val="Основний текст 2 Знак"/>
    <w:basedOn w:val="725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3" w:customStyle="1">
    <w:name w:val="Заголовок 2 Знак"/>
    <w:basedOn w:val="725"/>
    <w:link w:val="72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4">
    <w:name w:val="No Spacing"/>
    <w:link w:val="74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5" w:customStyle="1">
    <w:name w:val="Без інтервалів Знак"/>
    <w:basedOn w:val="725"/>
    <w:link w:val="744"/>
    <w:uiPriority w:val="1"/>
    <w:rPr>
      <w:rFonts w:ascii="Calibri" w:hAnsi="Calibri" w:eastAsia="Calibri" w:cs="Times New Roman"/>
      <w:lang w:val="uk-UA"/>
    </w:rPr>
  </w:style>
  <w:style w:type="character" w:styleId="746" w:customStyle="1">
    <w:name w:val="Другое_"/>
    <w:basedOn w:val="725"/>
    <w:link w:val="747"/>
    <w:rPr>
      <w:rFonts w:ascii="Calibri" w:hAnsi="Calibri" w:eastAsia="Calibri" w:cs="Calibri"/>
      <w:sz w:val="20"/>
      <w:szCs w:val="20"/>
    </w:rPr>
  </w:style>
  <w:style w:type="paragraph" w:styleId="747" w:customStyle="1">
    <w:name w:val="Другое"/>
    <w:basedOn w:val="723"/>
    <w:link w:val="74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9" w:customStyle="1">
    <w:name w:val="Основной текст (2)_"/>
    <w:basedOn w:val="725"/>
    <w:link w:val="750"/>
    <w:rPr>
      <w:rFonts w:eastAsia="Times New Roman" w:cs="Times New Roman"/>
      <w:shd w:val="clear" w:color="auto" w:fill="ffffff"/>
    </w:rPr>
  </w:style>
  <w:style w:type="paragraph" w:styleId="750" w:customStyle="1">
    <w:name w:val="Основной текст (2)"/>
    <w:basedOn w:val="723"/>
    <w:link w:val="74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1" w:customStyle="1">
    <w:name w:val="Текст у виносці Знак"/>
    <w:basedOn w:val="725"/>
    <w:link w:val="75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2">
    <w:name w:val="Balloon Text"/>
    <w:basedOn w:val="723"/>
    <w:link w:val="75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3" w:customStyle="1">
    <w:name w:val="Текст у виносці Знак1"/>
    <w:basedOn w:val="72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4" w:customStyle="1">
    <w:name w:val="T23"/>
    <w:rPr>
      <w:rFonts w:hint="default" w:ascii="Times New Roman" w:hAnsi="Times New Roman" w:eastAsia="Times New Roman1" w:cs="Times New Roman"/>
    </w:rPr>
  </w:style>
  <w:style w:type="paragraph" w:styleId="755" w:customStyle="1">
    <w:name w:val="Абзац списку1"/>
    <w:basedOn w:val="723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6" w:customStyle="1">
    <w:name w:val="markedcontent"/>
    <w:basedOn w:val="725"/>
  </w:style>
  <w:style w:type="paragraph" w:styleId="757">
    <w:name w:val="annotation text"/>
    <w:basedOn w:val="723"/>
    <w:link w:val="758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8" w:customStyle="1">
    <w:name w:val="Текст примітки Знак"/>
    <w:basedOn w:val="725"/>
    <w:link w:val="75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9">
    <w:name w:val="Body Text Indent"/>
    <w:basedOn w:val="723"/>
    <w:link w:val="760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760" w:customStyle="1">
    <w:name w:val="Основний текст з відступом Знак"/>
    <w:basedOn w:val="725"/>
    <w:link w:val="75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61">
    <w:name w:val="Body Text"/>
    <w:basedOn w:val="723"/>
    <w:link w:val="762"/>
    <w:pPr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2" w:customStyle="1">
    <w:name w:val="Основний текст Знак"/>
    <w:basedOn w:val="725"/>
    <w:link w:val="76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3">
    <w:name w:val="annotation reference"/>
    <w:basedOn w:val="725"/>
    <w:uiPriority w:val="99"/>
    <w:semiHidden/>
    <w:unhideWhenUsed/>
    <w:rPr>
      <w:sz w:val="16"/>
      <w:szCs w:val="16"/>
    </w:rPr>
  </w:style>
  <w:style w:type="paragraph" w:styleId="764">
    <w:name w:val="annotation subject"/>
    <w:basedOn w:val="757"/>
    <w:next w:val="757"/>
    <w:link w:val="765"/>
    <w:uiPriority w:val="99"/>
    <w:semiHidden/>
    <w:unhideWhenUsed/>
    <w:rPr>
      <w:b/>
      <w:bCs/>
    </w:rPr>
  </w:style>
  <w:style w:type="character" w:styleId="765" w:customStyle="1">
    <w:name w:val="Тема примітки Знак"/>
    <w:basedOn w:val="758"/>
    <w:link w:val="76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66">
    <w:name w:val="Header"/>
    <w:basedOn w:val="723"/>
    <w:link w:val="767"/>
    <w:uiPriority w:val="99"/>
    <w:unhideWhenUsed/>
    <w:pPr>
      <w:spacing w:after="0" w:line="240" w:lineRule="auto"/>
      <w:widowControl w:val="off"/>
      <w:tabs>
        <w:tab w:val="center" w:pos="4819" w:leader="none"/>
        <w:tab w:val="right" w:pos="9639" w:leader="none"/>
      </w:tabs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7" w:customStyle="1">
    <w:name w:val="Верхній колонтитул Знак"/>
    <w:basedOn w:val="725"/>
    <w:link w:val="76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8" w:customStyle="1">
    <w:name w:val="Неразрешенное упоминание1"/>
    <w:basedOn w:val="725"/>
    <w:uiPriority w:val="99"/>
    <w:semiHidden/>
    <w:unhideWhenUsed/>
    <w:rPr>
      <w:color w:val="605e5c"/>
      <w:shd w:val="clear" w:color="auto" w:fill="e1dfdd"/>
    </w:rPr>
  </w:style>
  <w:style w:type="paragraph" w:styleId="769" w:customStyle="1">
    <w:name w:val="tbl-txt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70">
    <w:name w:val="FollowedHyperlink"/>
    <w:basedOn w:val="725"/>
    <w:uiPriority w:val="99"/>
    <w:semiHidden/>
    <w:unhideWhenUsed/>
    <w:rPr>
      <w:color w:val="954f72" w:themeColor="followedHyperlink"/>
      <w:u w:val="single"/>
    </w:rPr>
  </w:style>
  <w:style w:type="paragraph" w:styleId="771" w:customStyle="1">
    <w:name w:val="msonormal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72" w:customStyle="1">
    <w:name w:val="xl63"/>
    <w:basedOn w:val="723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3" w:customStyle="1">
    <w:name w:val="xl64"/>
    <w:basedOn w:val="723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4" w:customStyle="1">
    <w:name w:val="xl65"/>
    <w:basedOn w:val="723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5" w:customStyle="1">
    <w:name w:val="xl66"/>
    <w:basedOn w:val="723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6" w:customStyle="1">
    <w:name w:val="xl67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7" w:customStyle="1">
    <w:name w:val="xl68"/>
    <w:basedOn w:val="723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8" w:customStyle="1">
    <w:name w:val="xl69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9" w:customStyle="1">
    <w:name w:val="xl70"/>
    <w:basedOn w:val="72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0" w:customStyle="1">
    <w:name w:val="xl71"/>
    <w:basedOn w:val="723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1" w:customStyle="1">
    <w:name w:val="xl72"/>
    <w:basedOn w:val="723"/>
    <w:pPr>
      <w:jc w:val="center"/>
      <w:spacing w:before="100" w:beforeAutospacing="1" w:after="100" w:afterAutospacing="1" w:line="240" w:lineRule="auto"/>
      <w:pBdr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2" w:customStyle="1">
    <w:name w:val="xl73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3" w:customStyle="1">
    <w:name w:val="xl74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4" w:customStyle="1">
    <w:name w:val="xl75"/>
    <w:basedOn w:val="72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5" w:customStyle="1">
    <w:name w:val="xl76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6" w:customStyle="1">
    <w:name w:val="xl77"/>
    <w:basedOn w:val="723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7" w:customStyle="1">
    <w:name w:val="xl78"/>
    <w:basedOn w:val="72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788" w:customStyle="1">
    <w:name w:val="xl79"/>
    <w:basedOn w:val="72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789" w:customStyle="1">
    <w:name w:val="xl80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uk-UA"/>
    </w:rPr>
  </w:style>
  <w:style w:type="paragraph" w:styleId="790" w:customStyle="1">
    <w:name w:val="xl81"/>
    <w:basedOn w:val="723"/>
    <w:pPr>
      <w:jc w:val="center"/>
      <w:spacing w:before="100" w:beforeAutospacing="1" w:after="100" w:afterAutospacing="1" w:line="240" w:lineRule="auto"/>
      <w:pBdr>
        <w:left w:val="single" w:color="auto" w:sz="8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1" w:customStyle="1">
    <w:name w:val="xl82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2" w:customStyle="1">
    <w:name w:val="xl83"/>
    <w:basedOn w:val="723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3" w:customStyle="1">
    <w:name w:val="xl84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4" w:customStyle="1">
    <w:name w:val="xl85"/>
    <w:basedOn w:val="723"/>
    <w:pPr>
      <w:jc w:val="center"/>
      <w:spacing w:before="100" w:beforeAutospacing="1" w:after="100" w:afterAutospacing="1" w:line="240" w:lineRule="auto"/>
      <w:pBdr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5" w:customStyle="1">
    <w:name w:val="xl86"/>
    <w:basedOn w:val="723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6" w:customStyle="1">
    <w:name w:val="xl87"/>
    <w:basedOn w:val="723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7" w:customStyle="1">
    <w:name w:val="xl88"/>
    <w:basedOn w:val="723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8" w:customStyle="1">
    <w:name w:val="xl89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9" w:customStyle="1">
    <w:name w:val="xl90"/>
    <w:basedOn w:val="723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0" w:customStyle="1">
    <w:name w:val="xl91"/>
    <w:basedOn w:val="723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1" w:customStyle="1">
    <w:name w:val="xl92"/>
    <w:basedOn w:val="723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2" w:customStyle="1">
    <w:name w:val="xl93"/>
    <w:basedOn w:val="723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3" w:customStyle="1">
    <w:name w:val="xl94"/>
    <w:basedOn w:val="723"/>
    <w:pPr>
      <w:jc w:val="center"/>
      <w:spacing w:before="100" w:beforeAutospacing="1" w:after="100" w:afterAutospacing="1" w:line="240" w:lineRule="auto"/>
      <w:pBdr>
        <w:top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4" w:customStyle="1">
    <w:name w:val="xl95"/>
    <w:basedOn w:val="723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5" w:customStyle="1">
    <w:name w:val="xl96"/>
    <w:basedOn w:val="723"/>
    <w:pPr>
      <w:jc w:val="center"/>
      <w:spacing w:before="100" w:beforeAutospacing="1" w:after="100" w:afterAutospacing="1" w:line="240" w:lineRule="auto"/>
      <w:pBdr>
        <w:top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6" w:customStyle="1">
    <w:name w:val="xl97"/>
    <w:basedOn w:val="723"/>
    <w:pPr>
      <w:jc w:val="center"/>
      <w:spacing w:before="100" w:beforeAutospacing="1" w:after="100" w:afterAutospacing="1" w:line="240" w:lineRule="auto"/>
      <w:pBdr>
        <w:top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7" w:customStyle="1">
    <w:name w:val="xl98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08" w:customStyle="1">
    <w:name w:val="xl99"/>
    <w:basedOn w:val="723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09" w:customStyle="1">
    <w:name w:val="xl100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0" w:customStyle="1">
    <w:name w:val="xl101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1" w:customStyle="1">
    <w:name w:val="xl102"/>
    <w:basedOn w:val="723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2" w:customStyle="1">
    <w:name w:val="xl103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3" w:customStyle="1">
    <w:name w:val="xl104"/>
    <w:basedOn w:val="723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4" w:customStyle="1">
    <w:name w:val="xl105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5" w:customStyle="1">
    <w:name w:val="xl106"/>
    <w:basedOn w:val="723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6" w:customStyle="1">
    <w:name w:val="xl107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17" w:customStyle="1">
    <w:name w:val="xl108"/>
    <w:basedOn w:val="723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18" w:customStyle="1">
    <w:name w:val="xl109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9" w:customStyle="1">
    <w:name w:val="xl110"/>
    <w:basedOn w:val="723"/>
    <w:pPr>
      <w:jc w:val="center"/>
      <w:spacing w:before="100" w:beforeAutospacing="1" w:after="100" w:afterAutospacing="1" w:line="240" w:lineRule="auto"/>
      <w:pBdr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20" w:customStyle="1">
    <w:name w:val="xl111"/>
    <w:basedOn w:val="723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21" w:customStyle="1">
    <w:name w:val="xl112"/>
    <w:basedOn w:val="723"/>
    <w:pPr>
      <w:jc w:val="center"/>
      <w:spacing w:before="100" w:beforeAutospacing="1" w:after="100" w:afterAutospacing="1" w:line="240" w:lineRule="auto"/>
      <w:pBdr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22" w:customStyle="1">
    <w:name w:val="xl113"/>
    <w:basedOn w:val="723"/>
    <w:pPr>
      <w:spacing w:before="100" w:beforeAutospacing="1" w:after="100" w:afterAutospacing="1" w:line="240" w:lineRule="auto"/>
      <w:pBdr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23" w:customStyle="1">
    <w:name w:val="xl114"/>
    <w:basedOn w:val="723"/>
    <w:pPr>
      <w:jc w:val="center"/>
      <w:spacing w:before="100" w:beforeAutospacing="1" w:after="100" w:afterAutospacing="1" w:line="240" w:lineRule="auto"/>
      <w:pBdr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24" w:customStyle="1">
    <w:name w:val="rvps2"/>
    <w:basedOn w:val="723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val="en-US"/>
    </w:rPr>
  </w:style>
  <w:style w:type="paragraph" w:styleId="825" w:customStyle="1">
    <w:name w:val="No Spacing"/>
    <w:pPr>
      <w:spacing w:after="0" w:line="240" w:lineRule="auto"/>
    </w:pPr>
    <w:rPr>
      <w:rFonts w:ascii="Calibri" w:hAnsi="Calibri" w:eastAsia="Calibri" w:cs="Times New Roman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152</cp:revision>
  <dcterms:created xsi:type="dcterms:W3CDTF">2022-11-01T12:47:00Z</dcterms:created>
  <dcterms:modified xsi:type="dcterms:W3CDTF">2023-12-20T11:56:00Z</dcterms:modified>
</cp:coreProperties>
</file>