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Паперові рушники та туалетний папір за кодом CPV за ЄЗС ДК 021:2015 - 33760000-5 Туалетний папір, носові хустинки, рушники для рук і серветки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011532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Паперові рушники та туалетний папір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b/>
                <w:bCs/>
              </w:rPr>
              <w:t xml:space="preserve">Паперові рушники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пач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572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b/>
              </w:rPr>
              <w:t xml:space="preserve">Туалетний папір білий</w:t>
            </w:r>
            <w:r>
              <w:t xml:space="preserve">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уп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95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Учаснику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необхідщно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0"/>
      <w:bookmarkEnd w:id="1"/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2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Паперові рушники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Паперові рушники білі, целюлозні, Z-складання 2-х шарові 200 листів (2х шарові; кількість в пачці 200шт); тип – листові; розмір листа: ширина не менше 210±5мм, довжина листа 220-240мм.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Туалетний папір білий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Туалетний папір білий, целюлозний  3-х шаровий (не менше - 3х шарова; не менше 140±2 відривів; розміри відривного папірця 96мм на 120мм; загальна довжина рулону не менше  16,8м±0,3м;кількість в упаковці 32 шт.)</w:t>
            </w:r>
            <w:bookmarkEnd w:id="2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131 893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тридцять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дев’яносто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142</cp:revision>
  <dcterms:created xsi:type="dcterms:W3CDTF">2022-11-01T12:47:00Z</dcterms:created>
  <dcterms:modified xsi:type="dcterms:W3CDTF">2023-10-06T14:57:16Z</dcterms:modified>
</cp:coreProperties>
</file>