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серверного апаратно-програмного комплексу для побудови </w:t>
      </w:r>
      <w:r>
        <w:rPr>
          <w:b w:val="0"/>
          <w:bCs w:val="0"/>
          <w:sz w:val="24"/>
          <w:szCs w:val="24"/>
        </w:rPr>
        <w:t xml:space="preserve">гіперконвергентного</w:t>
      </w:r>
      <w:r>
        <w:rPr>
          <w:b w:val="0"/>
          <w:bCs w:val="0"/>
          <w:sz w:val="24"/>
          <w:szCs w:val="24"/>
        </w:rPr>
        <w:t xml:space="preserve"> рішення </w:t>
      </w:r>
      <w:r>
        <w:rPr>
          <w:b w:val="0"/>
          <w:bCs w:val="0"/>
          <w:sz w:val="24"/>
          <w:szCs w:val="24"/>
        </w:rPr>
        <w:t xml:space="preserve">Nutanix</w:t>
      </w:r>
      <w:r>
        <w:rPr>
          <w:b w:val="0"/>
          <w:bCs w:val="0"/>
          <w:sz w:val="24"/>
          <w:szCs w:val="24"/>
        </w:rPr>
        <w:t xml:space="preserve"> </w:t>
      </w:r>
      <w:r>
        <w:rPr>
          <w:b w:val="0"/>
          <w:bCs w:val="0"/>
          <w:sz w:val="24"/>
          <w:szCs w:val="24"/>
        </w:rPr>
        <w:t xml:space="preserve">Cloud</w:t>
      </w:r>
      <w:r>
        <w:rPr>
          <w:b w:val="0"/>
          <w:bCs w:val="0"/>
          <w:sz w:val="24"/>
          <w:szCs w:val="24"/>
        </w:rPr>
        <w:t xml:space="preserve"> </w:t>
      </w:r>
      <w:r>
        <w:rPr>
          <w:b w:val="0"/>
          <w:bCs w:val="0"/>
          <w:sz w:val="24"/>
          <w:szCs w:val="24"/>
        </w:rPr>
        <w:t xml:space="preserve">Infrastructure</w:t>
      </w:r>
      <w:r>
        <w:rPr>
          <w:b w:val="0"/>
          <w:bCs w:val="0"/>
          <w:sz w:val="24"/>
          <w:szCs w:val="24"/>
        </w:rPr>
        <w:t xml:space="preserve"> - три (3) обчислювальних вузла, м. Дніпро та м. Одеса та уніфікована система для зберігання резервних копій з функціоналом </w:t>
      </w:r>
      <w:r>
        <w:rPr>
          <w:b w:val="0"/>
          <w:bCs w:val="0"/>
          <w:sz w:val="24"/>
          <w:szCs w:val="24"/>
        </w:rPr>
        <w:t xml:space="preserve">дедублікації</w:t>
      </w:r>
      <w:r>
        <w:rPr>
          <w:b w:val="0"/>
          <w:bCs w:val="0"/>
          <w:sz w:val="24"/>
          <w:szCs w:val="24"/>
        </w:rPr>
        <w:t xml:space="preserve"> даних за ДК 021:2015: 48820000-2 Сервери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29</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2053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серверного апаратно-програмного комплексу для побудови </w:t>
      </w:r>
      <w:r>
        <w:rPr>
          <w:rFonts w:ascii="Times New Roman" w:hAnsi="Times New Roman" w:cs="Times New Roman"/>
          <w:sz w:val="24"/>
          <w:szCs w:val="24"/>
        </w:rPr>
        <w:t xml:space="preserve">гіперконвергентного</w:t>
      </w:r>
      <w:r>
        <w:rPr>
          <w:rFonts w:ascii="Times New Roman" w:hAnsi="Times New Roman" w:cs="Times New Roman"/>
          <w:sz w:val="24"/>
          <w:szCs w:val="24"/>
        </w:rPr>
        <w:t xml:space="preserve"> рішення </w:t>
      </w:r>
      <w:r>
        <w:rPr>
          <w:rFonts w:ascii="Times New Roman" w:hAnsi="Times New Roman" w:cs="Times New Roman"/>
          <w:sz w:val="24"/>
          <w:szCs w:val="24"/>
        </w:rPr>
        <w:t xml:space="preserve">Nutanix</w:t>
      </w:r>
      <w:r>
        <w:rPr>
          <w:rFonts w:ascii="Times New Roman" w:hAnsi="Times New Roman" w:cs="Times New Roman"/>
          <w:sz w:val="24"/>
          <w:szCs w:val="24"/>
        </w:rPr>
        <w:t xml:space="preserve"> </w:t>
      </w:r>
      <w:r>
        <w:rPr>
          <w:rFonts w:ascii="Times New Roman" w:hAnsi="Times New Roman" w:cs="Times New Roman"/>
          <w:sz w:val="24"/>
          <w:szCs w:val="24"/>
        </w:rPr>
        <w:t xml:space="preserve">Cloud</w:t>
      </w:r>
      <w:r>
        <w:rPr>
          <w:rFonts w:ascii="Times New Roman" w:hAnsi="Times New Roman" w:cs="Times New Roman"/>
          <w:sz w:val="24"/>
          <w:szCs w:val="24"/>
        </w:rPr>
        <w:t xml:space="preserve"> </w:t>
      </w:r>
      <w:r>
        <w:rPr>
          <w:rFonts w:ascii="Times New Roman" w:hAnsi="Times New Roman" w:cs="Times New Roman"/>
          <w:sz w:val="24"/>
          <w:szCs w:val="24"/>
        </w:rPr>
        <w:t xml:space="preserve">Infrastructure</w:t>
      </w:r>
      <w:r>
        <w:rPr>
          <w:rFonts w:ascii="Times New Roman" w:hAnsi="Times New Roman" w:cs="Times New Roman"/>
          <w:sz w:val="24"/>
          <w:szCs w:val="24"/>
        </w:rPr>
        <w:t xml:space="preserve"> - три (3) обчислювальних вузла, м. Дніпро та м. Одеса та уніфікована система для зберігання резервних копій з функціоналом </w:t>
      </w:r>
      <w:r>
        <w:rPr>
          <w:rFonts w:ascii="Times New Roman" w:hAnsi="Times New Roman" w:cs="Times New Roman"/>
          <w:sz w:val="24"/>
          <w:szCs w:val="24"/>
        </w:rPr>
        <w:t xml:space="preserve">дедублікації</w:t>
      </w:r>
      <w:r>
        <w:rPr>
          <w:rFonts w:ascii="Times New Roman" w:hAnsi="Times New Roman" w:cs="Times New Roman"/>
          <w:sz w:val="24"/>
          <w:szCs w:val="24"/>
        </w:rPr>
        <w:t xml:space="preserve"> даних за ДК 021:2015: 48820000-2 Сервери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5670"/>
        <w:gridCol w:w="1701"/>
        <w:gridCol w:w="1701"/>
      </w:tblGrid>
      <w:tr>
        <w:trPr/>
        <w:tc>
          <w:tcPr>
            <w:tcW w:w="562" w:type="dxa"/>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 п/п</w:t>
            </w:r>
            <w:r/>
          </w:p>
        </w:tc>
        <w:tc>
          <w:tcPr>
            <w:tcW w:w="5670" w:type="dxa"/>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Назва системи</w:t>
            </w:r>
            <w:r/>
          </w:p>
        </w:tc>
        <w:tc>
          <w:tcPr>
            <w:tcW w:w="1701" w:type="dxa"/>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Одиниця виміру</w:t>
            </w:r>
            <w:r/>
          </w:p>
        </w:tc>
        <w:tc>
          <w:tcPr>
            <w:tcW w:w="1701" w:type="dxa"/>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Кількість</w:t>
            </w:r>
            <w:r/>
          </w:p>
        </w:tc>
      </w:tr>
      <w:tr>
        <w:trPr/>
        <w:tc>
          <w:tcPr>
            <w:tcW w:w="562" w:type="dxa"/>
            <w:vAlign w:val="center"/>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1</w:t>
            </w:r>
            <w:r/>
          </w:p>
        </w:tc>
        <w:tc>
          <w:tcPr>
            <w:tcW w:w="5670" w:type="dxa"/>
            <w:vAlign w:val="center"/>
            <w:textDirection w:val="lrTb"/>
            <w:noWrap w:val="false"/>
          </w:tcPr>
          <w:p>
            <w:pP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bCs/>
                <w:sz w:val="24"/>
                <w:szCs w:val="24"/>
              </w:rPr>
              <w:t xml:space="preserve">Серверний апаратно-програмний комплекс для побудови </w:t>
            </w:r>
            <w:r>
              <w:rPr>
                <w:rFonts w:ascii="Times New Roman" w:hAnsi="Times New Roman" w:cs="Times New Roman"/>
                <w:b/>
                <w:bCs/>
                <w:sz w:val="24"/>
                <w:szCs w:val="24"/>
              </w:rPr>
              <w:t xml:space="preserve">гіперконвергентного</w:t>
            </w:r>
            <w:r>
              <w:rPr>
                <w:rFonts w:ascii="Times New Roman" w:hAnsi="Times New Roman" w:cs="Times New Roman"/>
                <w:b/>
                <w:bCs/>
                <w:sz w:val="24"/>
                <w:szCs w:val="24"/>
              </w:rPr>
              <w:t xml:space="preserve"> рішення </w:t>
            </w:r>
            <w:r>
              <w:rPr>
                <w:rFonts w:ascii="Times New Roman" w:hAnsi="Times New Roman" w:cs="Times New Roman"/>
                <w:b/>
                <w:bCs/>
                <w:sz w:val="24"/>
                <w:szCs w:val="24"/>
              </w:rPr>
              <w:t xml:space="preserve">Nutanix</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Cloud</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Infrastructure</w:t>
            </w:r>
            <w:r>
              <w:rPr>
                <w:rFonts w:ascii="Times New Roman" w:hAnsi="Times New Roman" w:cs="Times New Roman"/>
                <w:b/>
                <w:bCs/>
                <w:sz w:val="24"/>
                <w:szCs w:val="24"/>
              </w:rPr>
              <w:t xml:space="preserve"> - три (3) обчислювальних вузла</w:t>
            </w:r>
            <w:r/>
          </w:p>
        </w:tc>
        <w:tc>
          <w:tcPr>
            <w:tcW w:w="1701" w:type="dxa"/>
            <w:vAlign w:val="center"/>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комплект</w:t>
            </w:r>
            <w:r/>
          </w:p>
        </w:tc>
        <w:tc>
          <w:tcPr>
            <w:tcW w:w="1701" w:type="dxa"/>
            <w:vAlign w:val="center"/>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2</w:t>
            </w:r>
            <w:r/>
          </w:p>
        </w:tc>
      </w:tr>
      <w:tr>
        <w:trPr/>
        <w:tc>
          <w:tcPr>
            <w:tcW w:w="562" w:type="dxa"/>
            <w:vAlign w:val="center"/>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2</w:t>
            </w:r>
            <w:r/>
          </w:p>
        </w:tc>
        <w:tc>
          <w:tcPr>
            <w:tcW w:w="5670" w:type="dxa"/>
            <w:vAlign w:val="center"/>
            <w:textDirection w:val="lrTb"/>
            <w:noWrap w:val="false"/>
          </w:tcPr>
          <w:p>
            <w:pPr>
              <w:spacing w:after="0" w:line="240" w:lineRule="auto"/>
              <w:rPr>
                <w:rFonts w:ascii="Times New Roman" w:hAnsi="Times New Roman" w:cs="Times New Roman"/>
                <w:b/>
                <w:bCs/>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14:ligatures w14:val="standardContextual"/>
              </w:rPr>
              <w:t xml:space="preserve">Уніфікована система для зберігання резервних копій з функціоналом </w:t>
            </w:r>
            <w:r>
              <w:rPr>
                <w:rFonts w:ascii="Times New Roman" w:hAnsi="Times New Roman" w:cs="Times New Roman"/>
                <w:b/>
                <w:sz w:val="24"/>
                <w:szCs w:val="24"/>
                <w14:ligatures w14:val="standardContextual"/>
              </w:rPr>
              <w:t xml:space="preserve">дедублікації</w:t>
            </w:r>
            <w:r>
              <w:rPr>
                <w:rFonts w:ascii="Times New Roman" w:hAnsi="Times New Roman" w:cs="Times New Roman"/>
                <w:b/>
                <w:sz w:val="24"/>
                <w:szCs w:val="24"/>
                <w14:ligatures w14:val="standardContextual"/>
              </w:rPr>
              <w:t xml:space="preserve"> даних</w:t>
            </w:r>
            <w:r/>
          </w:p>
        </w:tc>
        <w:tc>
          <w:tcPr>
            <w:tcW w:w="1701" w:type="dxa"/>
            <w:vAlign w:val="center"/>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14:ligatures w14:val="standardContextual"/>
              </w:rPr>
              <w:t xml:space="preserve">комплект</w:t>
            </w:r>
            <w:r/>
          </w:p>
        </w:tc>
        <w:tc>
          <w:tcPr>
            <w:tcW w:w="1701" w:type="dxa"/>
            <w:vAlign w:val="center"/>
            <w:textDirection w:val="lrTb"/>
            <w:noWrap w:val="false"/>
          </w:tcPr>
          <w:p>
            <w:pPr>
              <w:jc w:val="center"/>
              <w:spacing w:after="0" w:line="240" w:lineRule="auto"/>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bCs/>
                <w:sz w:val="24"/>
                <w:szCs w:val="24"/>
              </w:rPr>
              <w:t xml:space="preserve">1</w:t>
            </w:r>
            <w:r/>
          </w:p>
        </w:tc>
      </w:tr>
    </w:tbl>
    <w:p>
      <w:pPr>
        <w:jc w:val="both"/>
        <w:spacing w:after="0" w:line="240" w:lineRule="auto"/>
        <w:rPr>
          <w:rFonts w:ascii="Times New Roman" w:hAnsi="Times New Roman" w:cs="Times New Roman"/>
          <w:b/>
          <w: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i/>
          <w:color w:val="000000"/>
          <w:sz w:val="24"/>
          <w:szCs w:val="24"/>
        </w:rPr>
      </w:r>
      <w:r/>
    </w:p>
    <w:p>
      <w:pPr>
        <w:jc w:val="both"/>
        <w:spacing w:after="0" w:line="240" w:lineRule="auto"/>
        <w:rPr>
          <w:rFonts w:ascii="Times New Roman" w:hAnsi="Times New Roman" w:cs="Times New Roman"/>
          <w:b/>
          <w: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i/>
          <w:color w:val="000000"/>
          <w:sz w:val="24"/>
          <w:szCs w:val="24"/>
        </w:rPr>
        <w:t xml:space="preserve">У ціну мають бути включені прямі, загальновиробничі та адміністративні витрати з урахуванням витрат, у тому ч</w:t>
      </w:r>
      <w:r>
        <w:rPr>
          <w:rFonts w:ascii="Times New Roman" w:hAnsi="Times New Roman" w:cs="Times New Roman"/>
          <w:b/>
          <w:i/>
          <w:color w:val="000000"/>
          <w:sz w:val="24"/>
          <w:szCs w:val="24"/>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rFonts w:ascii="Times New Roman" w:hAnsi="Times New Roman" w:cs="Times New Roman"/>
          <w:b/>
          <w:i/>
          <w:color w:val="000000"/>
          <w:sz w:val="24"/>
          <w:szCs w:val="24"/>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rFonts w:ascii="Times New Roman" w:hAnsi="Times New Roman" w:cs="Times New Roman"/>
          <w:b/>
          <w:i/>
          <w:color w:val="000000"/>
          <w:sz w:val="24"/>
          <w:szCs w:val="24"/>
        </w:rPr>
        <w:t xml:space="preserve">проєкту</w:t>
      </w:r>
      <w:r>
        <w:rPr>
          <w:rFonts w:ascii="Times New Roman" w:hAnsi="Times New Roman" w:cs="Times New Roman"/>
          <w:b/>
          <w:i/>
          <w:color w:val="000000"/>
          <w:sz w:val="24"/>
          <w:szCs w:val="24"/>
        </w:rPr>
        <w:t xml:space="preserve"> Договору до моменту його повного завершення.</w:t>
      </w:r>
      <w:r/>
    </w:p>
    <w:p>
      <w:pPr>
        <w:jc w:val="both"/>
        <w:spacing w:after="0" w:line="240" w:lineRule="auto"/>
        <w:rPr>
          <w:rFonts w:ascii="Times New Roman" w:hAnsi="Times New Roman" w:cs="Times New Roman"/>
          <w:b/>
          <w: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i/>
          <w:color w:val="000000"/>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w:t>
      </w:r>
      <w:r>
        <w:rPr>
          <w:rFonts w:ascii="Times New Roman" w:hAnsi="Times New Roman" w:cs="Times New Roman"/>
          <w:sz w:val="24"/>
          <w:szCs w:val="24"/>
        </w:rPr>
        <w:t xml:space="preserve">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p>
      <w:pPr>
        <w:ind w:left="14" w:firstLine="53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left="14" w:firstLine="538"/>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left="14" w:firstLine="538"/>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Таблиця відповідності</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10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7"/>
        <w:gridCol w:w="2928"/>
        <w:gridCol w:w="3163"/>
        <w:gridCol w:w="2943"/>
      </w:tblGrid>
      <w:tr>
        <w:trPr/>
        <w:tc>
          <w:tcPr>
            <w:tcW w:w="997" w:type="dxa"/>
            <w:vAlign w:val="center"/>
            <w:textDirection w:val="lrTb"/>
            <w:noWrap w:val="false"/>
          </w:tcPr>
          <w:p>
            <w:pPr>
              <w:ind w:left="14" w:firstLine="538"/>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з/п</w:t>
            </w:r>
            <w:r/>
          </w:p>
        </w:tc>
        <w:tc>
          <w:tcPr>
            <w:tcW w:w="2928" w:type="dxa"/>
            <w:vAlign w:val="center"/>
            <w:textDirection w:val="lrTb"/>
            <w:noWrap w:val="false"/>
          </w:tcPr>
          <w:p>
            <w:pPr>
              <w:ind w:left="14" w:firstLine="538"/>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Характеристика</w:t>
            </w:r>
            <w:r/>
          </w:p>
        </w:tc>
        <w:tc>
          <w:tcPr>
            <w:tcW w:w="3163" w:type="dxa"/>
            <w:vAlign w:val="center"/>
            <w:textDirection w:val="lrTb"/>
            <w:noWrap w:val="false"/>
          </w:tcPr>
          <w:p>
            <w:pPr>
              <w:ind w:left="14" w:firstLine="538"/>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вимог, які визначені Замовником</w:t>
            </w:r>
            <w:r/>
          </w:p>
        </w:tc>
        <w:tc>
          <w:tcPr>
            <w:tcW w:w="2943" w:type="dxa"/>
            <w:vAlign w:val="center"/>
            <w:textDirection w:val="lrTb"/>
            <w:noWrap w:val="false"/>
          </w:tcPr>
          <w:p>
            <w:pPr>
              <w:ind w:left="14" w:firstLine="538"/>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sz w:val="24"/>
          <w:szCs w:val="24"/>
        </w:rPr>
        <w:t xml:space="preserve">закупівель</w:t>
      </w:r>
      <w:r>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w:t>
      </w:r>
      <w:r/>
    </w:p>
    <w:p>
      <w:pPr>
        <w:ind w:left="-284"/>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964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9"/>
        <w:gridCol w:w="1702"/>
        <w:gridCol w:w="3685"/>
        <w:gridCol w:w="659"/>
        <w:gridCol w:w="1184"/>
        <w:gridCol w:w="224"/>
        <w:gridCol w:w="1477"/>
      </w:tblGrid>
      <w:tr>
        <w:trPr/>
        <w:tc>
          <w:tcPr>
            <w:shd w:val="clear" w:color="auto" w:fill="bfbfbf" w:themeFill="background1" w:themeFillShade="BF"/>
            <w:tcW w:w="70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з/п</w:t>
            </w:r>
            <w:r/>
          </w:p>
        </w:tc>
        <w:tc>
          <w:tcPr>
            <w:gridSpan w:val="3"/>
            <w:shd w:val="clear" w:color="auto" w:fill="bfbfbf" w:themeFill="background1" w:themeFillShade="BF"/>
            <w:tcW w:w="6046"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Найменування обладнання, технічні характеристики та вимоги до обладнання</w:t>
            </w:r>
            <w:r/>
          </w:p>
        </w:tc>
        <w:tc>
          <w:tcPr>
            <w:gridSpan w:val="2"/>
            <w:shd w:val="clear" w:color="auto" w:fill="bfbfbf" w:themeFill="background1" w:themeFillShade="BF"/>
            <w:tcW w:w="140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Одиниця виміру</w:t>
            </w:r>
            <w:r/>
          </w:p>
        </w:tc>
        <w:tc>
          <w:tcPr>
            <w:shd w:val="clear" w:color="auto" w:fill="bfbfbf" w:themeFill="background1" w:themeFillShade="BF"/>
            <w:tcW w:w="147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Кількість</w:t>
            </w:r>
            <w:r/>
          </w:p>
        </w:tc>
      </w:tr>
      <w:tr>
        <w:trPr/>
        <w:tc>
          <w:tcPr>
            <w:shd w:val="clear" w:color="auto" w:fill="bfbfbf" w:themeFill="background1" w:themeFillShade="BF"/>
            <w:tcW w:w="70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c>
          <w:tcPr>
            <w:gridSpan w:val="3"/>
            <w:shd w:val="clear" w:color="auto" w:fill="bfbfbf" w:themeFill="background1" w:themeFillShade="BF"/>
            <w:tcW w:w="6046"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w:t>
            </w:r>
            <w:r/>
          </w:p>
        </w:tc>
        <w:tc>
          <w:tcPr>
            <w:gridSpan w:val="2"/>
            <w:shd w:val="clear" w:color="auto" w:fill="bfbfbf" w:themeFill="background1" w:themeFillShade="BF"/>
            <w:tcW w:w="140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w:t>
            </w:r>
            <w:r/>
          </w:p>
        </w:tc>
        <w:tc>
          <w:tcPr>
            <w:shd w:val="clear" w:color="auto" w:fill="bfbfbf" w:themeFill="background1" w:themeFillShade="BF"/>
            <w:tcW w:w="147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w:t>
            </w:r>
            <w:r/>
          </w:p>
        </w:tc>
      </w:tr>
      <w:tr>
        <w:trPr/>
        <w:tc>
          <w:tcPr>
            <w:tcW w:w="70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c>
          <w:tcPr>
            <w:gridSpan w:val="3"/>
            <w:tcW w:w="6046" w:type="dxa"/>
            <w:vAlign w:val="center"/>
            <w:textDirection w:val="lrTb"/>
            <w:noWrap w:val="false"/>
          </w:tcPr>
          <w:p>
            <w:pPr>
              <w:spacing w:after="0" w:line="240" w:lineRule="auto"/>
              <w:rPr>
                <w:rFonts w:ascii="Times New Roman" w:hAnsi="Times New Roman" w:cs="Times New Roman"/>
                <w:b/>
                <w:bCs/>
                <w:i/>
                <w:sz w:val="24"/>
                <w:szCs w:val="24"/>
              </w:rPr>
            </w:pPr>
            <w:r>
              <w:rPr>
                <w:rFonts w:ascii="Times New Roman" w:hAnsi="Times New Roman" w:cs="Times New Roman"/>
                <w:b/>
                <w:bCs/>
                <w:sz w:val="24"/>
                <w:szCs w:val="24"/>
              </w:rPr>
              <w:t xml:space="preserve">Серверний апаратно-програмний комплекс для побудови </w:t>
            </w:r>
            <w:r>
              <w:rPr>
                <w:rFonts w:ascii="Times New Roman" w:hAnsi="Times New Roman" w:cs="Times New Roman"/>
                <w:b/>
                <w:bCs/>
                <w:sz w:val="24"/>
                <w:szCs w:val="24"/>
              </w:rPr>
              <w:t xml:space="preserve">гіперконвергентного</w:t>
            </w:r>
            <w:r>
              <w:rPr>
                <w:rFonts w:ascii="Times New Roman" w:hAnsi="Times New Roman" w:cs="Times New Roman"/>
                <w:b/>
                <w:bCs/>
                <w:sz w:val="24"/>
                <w:szCs w:val="24"/>
              </w:rPr>
              <w:t xml:space="preserve"> рішення </w:t>
            </w:r>
            <w:r>
              <w:rPr>
                <w:rFonts w:ascii="Times New Roman" w:hAnsi="Times New Roman" w:cs="Times New Roman"/>
                <w:b/>
                <w:bCs/>
                <w:sz w:val="24"/>
                <w:szCs w:val="24"/>
              </w:rPr>
              <w:t xml:space="preserve">Nutanix</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Cloud</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Infrastructure</w:t>
            </w:r>
            <w:r>
              <w:rPr>
                <w:rFonts w:ascii="Times New Roman" w:hAnsi="Times New Roman" w:cs="Times New Roman"/>
                <w:b/>
                <w:bCs/>
                <w:sz w:val="24"/>
                <w:szCs w:val="24"/>
              </w:rPr>
              <w:t xml:space="preserve"> - три (3) обчислювальних вузла</w:t>
            </w:r>
            <w:r/>
          </w:p>
        </w:tc>
        <w:tc>
          <w:tcPr>
            <w:gridSpan w:val="2"/>
            <w:tcW w:w="140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комплект</w:t>
            </w:r>
            <w:r/>
          </w:p>
        </w:tc>
        <w:tc>
          <w:tcPr>
            <w:tcW w:w="1477"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1702"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Форм-фактор:</w:t>
            </w:r>
            <w:r/>
          </w:p>
        </w:tc>
        <w:tc>
          <w:tcPr>
            <w:gridSpan w:val="5"/>
            <w:tcW w:w="7229" w:type="dxa"/>
            <w:vAlign w:val="center"/>
            <w:textDirection w:val="lrTb"/>
            <w:noWrap w:val="false"/>
          </w:tcPr>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Сервер для інсталяції в 19" стандартну шафу</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не більше 2U</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Процесор:</w:t>
            </w:r>
            <w:r/>
          </w:p>
        </w:tc>
        <w:tc>
          <w:tcPr>
            <w:gridSpan w:val="5"/>
            <w:tcW w:w="7229" w:type="dxa"/>
            <w:vAlign w:val="center"/>
            <w:textDirection w:val="lrTb"/>
            <w:noWrap w:val="false"/>
          </w:tcPr>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процесорів не менш ніж 2;</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базова частота не нижче 2,9 </w:t>
            </w:r>
            <w:r>
              <w:rPr>
                <w:rFonts w:ascii="Times New Roman" w:hAnsi="Times New Roman" w:cs="Times New Roman"/>
                <w:sz w:val="24"/>
                <w:szCs w:val="24"/>
              </w:rPr>
              <w:t xml:space="preserve">GHz</w:t>
            </w:r>
            <w:r>
              <w:rPr>
                <w:rFonts w:ascii="Times New Roman" w:hAnsi="Times New Roman" w:cs="Times New Roman"/>
                <w:sz w:val="24"/>
                <w:szCs w:val="24"/>
              </w:rPr>
              <w:t xml:space="preserve">;</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rPr>
              <w:t xml:space="preserve">ядер</w:t>
            </w:r>
            <w:r>
              <w:rPr>
                <w:rFonts w:ascii="Times New Roman" w:hAnsi="Times New Roman" w:cs="Times New Roman"/>
                <w:sz w:val="24"/>
                <w:szCs w:val="24"/>
              </w:rPr>
              <w:t xml:space="preserve"> не менше ніж 8;</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22.5 МБ кеш-пам'яті третього рівня;</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енергоспоживання не більше 150 Вт;</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технології віртуалізації </w:t>
            </w:r>
            <w:r>
              <w:rPr>
                <w:rFonts w:ascii="Times New Roman" w:hAnsi="Times New Roman" w:cs="Times New Roman"/>
                <w:sz w:val="24"/>
                <w:szCs w:val="24"/>
              </w:rPr>
              <w:t xml:space="preserve">Intel</w:t>
            </w:r>
            <w:r>
              <w:rPr>
                <w:rFonts w:ascii="Times New Roman" w:hAnsi="Times New Roman" w:cs="Times New Roman"/>
                <w:sz w:val="24"/>
                <w:szCs w:val="24"/>
              </w:rPr>
              <w:t xml:space="preserve"> VT-x.</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Пам’ять:</w:t>
            </w:r>
            <w:r/>
          </w:p>
        </w:tc>
        <w:tc>
          <w:tcPr>
            <w:gridSpan w:val="5"/>
            <w:tcW w:w="7229" w:type="dxa"/>
            <w:vAlign w:val="center"/>
            <w:textDirection w:val="lrTb"/>
            <w:noWrap w:val="false"/>
          </w:tcPr>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Встановлено не менше 512 GB пам'яті типу DDR5-4800.</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механізму корекції помилок ECC, або аналогічного за функціоналом; </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Всі встановлені модулі пам'яті повинні бути від виробника серверного обладнання (рекомендовані виробником) та мати відповідне маркування, якщо таке існує у виробника.</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Мережевий інтерфейс:</w:t>
            </w:r>
            <w:r/>
          </w:p>
        </w:tc>
        <w:tc>
          <w:tcPr>
            <w:gridSpan w:val="5"/>
            <w:tcW w:w="7229" w:type="dxa"/>
            <w:vAlign w:val="center"/>
            <w:textDirection w:val="lrTb"/>
            <w:noWrap w:val="false"/>
          </w:tcPr>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чотирьох (4) </w:t>
            </w:r>
            <w:r>
              <w:rPr>
                <w:rFonts w:ascii="Times New Roman" w:hAnsi="Times New Roman" w:cs="Times New Roman"/>
                <w:sz w:val="24"/>
                <w:szCs w:val="24"/>
              </w:rPr>
              <w:t xml:space="preserve">Ethernet</w:t>
            </w:r>
            <w:r>
              <w:rPr>
                <w:rFonts w:ascii="Times New Roman" w:hAnsi="Times New Roman" w:cs="Times New Roman"/>
                <w:sz w:val="24"/>
                <w:szCs w:val="24"/>
              </w:rPr>
              <w:t xml:space="preserve"> інтерфейсів не гірше ніж 10/25Гб/с, SFP28 з підтримкою функціоналу RDMA. Даний мережевий інтерфейс повинен бути відображений на офіційному порталі виробника ПЗ віртуалізації в розділі матриці сумісності мережевих інтерфейсів для забезпечення функціоналу </w:t>
            </w:r>
            <w:r>
              <w:rPr>
                <w:rFonts w:ascii="Times New Roman" w:hAnsi="Times New Roman" w:cs="Times New Roman"/>
                <w:sz w:val="24"/>
                <w:szCs w:val="24"/>
                <w:lang w:val="en-US"/>
              </w:rPr>
              <w:t xml:space="preserve">RDMA</w:t>
            </w:r>
            <w:r>
              <w:rPr>
                <w:rFonts w:ascii="Times New Roman" w:hAnsi="Times New Roman" w:cs="Times New Roman"/>
                <w:sz w:val="24"/>
                <w:szCs w:val="24"/>
              </w:rPr>
              <w:t xml:space="preserve">;</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чотирьох (4) трансиверів 10G/25G SR SFP28 у комплекті.</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Дискова підсистема:</w:t>
            </w:r>
            <w:r/>
          </w:p>
        </w:tc>
        <w:tc>
          <w:tcPr>
            <w:gridSpan w:val="5"/>
            <w:tcW w:w="7229" w:type="dxa"/>
            <w:vAlign w:val="center"/>
            <w:textDirection w:val="lrTb"/>
            <w:noWrap w:val="false"/>
          </w:tcPr>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Встановлено не менше шести (6) накопичувачів SSD обсягом не менше 3.84ТБ кожен, з DWPD не менше 5;</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гібридних дискових конфігурації з накопичувачами </w:t>
            </w:r>
            <w:r>
              <w:rPr>
                <w:rFonts w:ascii="Times New Roman" w:hAnsi="Times New Roman" w:cs="Times New Roman"/>
                <w:sz w:val="24"/>
                <w:szCs w:val="24"/>
              </w:rPr>
              <w:t xml:space="preserve">NVMe</w:t>
            </w:r>
            <w:r>
              <w:rPr>
                <w:rFonts w:ascii="Times New Roman" w:hAnsi="Times New Roman" w:cs="Times New Roman"/>
                <w:sz w:val="24"/>
                <w:szCs w:val="24"/>
              </w:rPr>
              <w:t xml:space="preserve"> +SSD, або </w:t>
            </w:r>
            <w:r>
              <w:rPr>
                <w:rFonts w:ascii="Times New Roman" w:hAnsi="Times New Roman" w:cs="Times New Roman"/>
                <w:sz w:val="24"/>
                <w:szCs w:val="24"/>
                <w:lang w:val="en-US"/>
              </w:rPr>
              <w:t xml:space="preserve">NVMe</w:t>
            </w:r>
            <w:r>
              <w:rPr>
                <w:rFonts w:ascii="Times New Roman" w:hAnsi="Times New Roman" w:cs="Times New Roman"/>
                <w:sz w:val="24"/>
                <w:szCs w:val="24"/>
              </w:rPr>
              <w:t xml:space="preserve">+HDD;</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відповідного контролеру для підключення наявних дисків; </w:t>
            </w:r>
            <w:r/>
          </w:p>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 двох (2) M.2 SSD ємністю не менше 500GB кожен для завантаження </w:t>
            </w:r>
            <w:r>
              <w:rPr>
                <w:rFonts w:ascii="Times New Roman" w:hAnsi="Times New Roman" w:cs="Times New Roman"/>
                <w:sz w:val="24"/>
                <w:szCs w:val="24"/>
              </w:rPr>
              <w:t xml:space="preserve">гіпервізора</w:t>
            </w:r>
            <w:r>
              <w:rPr>
                <w:rFonts w:ascii="Times New Roman" w:hAnsi="Times New Roman" w:cs="Times New Roman"/>
                <w:sz w:val="24"/>
                <w:szCs w:val="24"/>
              </w:rPr>
              <w:t xml:space="preserve">;</w:t>
            </w:r>
            <w:r/>
          </w:p>
          <w:p>
            <w:pPr>
              <w:pStyle w:val="740"/>
              <w:numPr>
                <w:ilvl w:val="0"/>
                <w:numId w:val="43"/>
              </w:numPr>
              <w:ind w:left="437"/>
              <w:jc w:val="both"/>
              <w:spacing w:after="0" w:line="240" w:lineRule="auto"/>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*з міркувань безпеки всі накопичувачі повинні поставлятися з послугою, яка дозволяє клієнту зберігати несправні диски та не повертати їх виробнику; </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GPU</w:t>
            </w:r>
            <w:r/>
          </w:p>
        </w:tc>
        <w:tc>
          <w:tcPr>
            <w:gridSpan w:val="5"/>
            <w:tcW w:w="7229" w:type="dxa"/>
            <w:vAlign w:val="center"/>
            <w:textDirection w:val="lrTb"/>
            <w:noWrap w:val="false"/>
          </w:tcPr>
          <w:p>
            <w:pPr>
              <w:numPr>
                <w:ilvl w:val="0"/>
                <w:numId w:val="43"/>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встановлення не менше чотирьох (4) GPU карт, повинна бути забезпечена підтримка </w:t>
            </w:r>
            <w:r>
              <w:rPr>
                <w:rFonts w:ascii="Times New Roman" w:hAnsi="Times New Roman" w:cs="Times New Roman"/>
                <w:sz w:val="24"/>
                <w:szCs w:val="24"/>
              </w:rPr>
              <w:t xml:space="preserve">гіпервізора</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AHV</w:t>
            </w:r>
            <w:r>
              <w:rPr>
                <w:rFonts w:ascii="Times New Roman" w:hAnsi="Times New Roman" w:cs="Times New Roman"/>
                <w:sz w:val="24"/>
                <w:szCs w:val="24"/>
              </w:rPr>
              <w:t xml:space="preserve"> </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Живлення:</w:t>
            </w:r>
            <w:r/>
          </w:p>
        </w:tc>
        <w:tc>
          <w:tcPr>
            <w:gridSpan w:val="5"/>
            <w:tcW w:w="7229" w:type="dxa"/>
            <w:vAlign w:val="center"/>
            <w:textDirection w:val="lrTb"/>
            <w:noWrap w:val="false"/>
          </w:tcPr>
          <w:p>
            <w:pPr>
              <w:pStyle w:val="740"/>
              <w:numPr>
                <w:ilvl w:val="0"/>
                <w:numId w:val="43"/>
              </w:numPr>
              <w:ind w:left="437"/>
              <w:jc w:val="both"/>
              <w:spacing w:after="0" w:line="240" w:lineRule="auto"/>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Не менше двох блоків живлення з класом ефективності не гірше </w:t>
            </w:r>
            <w:r>
              <w:rPr>
                <w:rFonts w:ascii="Times New Roman" w:hAnsi="Times New Roman" w:eastAsia="Times New Roman" w:cs="Times New Roman"/>
                <w:sz w:val="24"/>
                <w:szCs w:val="24"/>
                <w:lang w:val="uk-UA"/>
              </w:rPr>
              <w:t xml:space="preserve">Titanium</w:t>
            </w:r>
            <w:r>
              <w:rPr>
                <w:rFonts w:ascii="Times New Roman" w:hAnsi="Times New Roman" w:eastAsia="Times New Roman" w:cs="Times New Roman"/>
                <w:sz w:val="24"/>
                <w:szCs w:val="24"/>
                <w:lang w:val="uk-UA"/>
              </w:rPr>
              <w:t xml:space="preserve">, та не менш 1800Вт потужності з підтримкою «гарячої» заміни, з усіма встановленими компонентами  та два кабелі  живлення довжиною не менше 2-х метрів С13-С14.</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Додаткове обладнання:</w:t>
            </w:r>
            <w:r/>
          </w:p>
        </w:tc>
        <w:tc>
          <w:tcPr>
            <w:gridSpan w:val="5"/>
            <w:tcW w:w="7229" w:type="dxa"/>
            <w:vAlign w:val="center"/>
            <w:textDirection w:val="lrTb"/>
            <w:noWrap w:val="false"/>
          </w:tcPr>
          <w:p>
            <w:pPr>
              <w:pStyle w:val="740"/>
              <w:numPr>
                <w:ilvl w:val="0"/>
                <w:numId w:val="43"/>
              </w:numPr>
              <w:ind w:left="437"/>
              <w:jc w:val="both"/>
              <w:spacing w:after="0" w:line="240" w:lineRule="auto"/>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Наявність у комплекті телескопічних рейок для встановлення у серверну шафу.</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Функціональні вимоги:</w:t>
            </w:r>
            <w:r/>
          </w:p>
        </w:tc>
        <w:tc>
          <w:tcPr>
            <w:gridSpan w:val="5"/>
            <w:tcW w:w="7229" w:type="dxa"/>
            <w:vAlign w:val="center"/>
            <w:textDirection w:val="lrTb"/>
            <w:noWrap w:val="false"/>
          </w:tcPr>
          <w:p>
            <w:pPr>
              <w:pStyle w:val="740"/>
              <w:numPr>
                <w:ilvl w:val="0"/>
                <w:numId w:val="43"/>
              </w:numPr>
              <w:ind w:left="437"/>
              <w:jc w:val="both"/>
              <w:spacing w:after="0" w:line="240" w:lineRule="auto"/>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Повинен мати систему </w:t>
            </w:r>
            <w:r>
              <w:rPr>
                <w:rFonts w:ascii="Times New Roman" w:hAnsi="Times New Roman" w:eastAsia="Times New Roman" w:cs="Times New Roman"/>
                <w:sz w:val="24"/>
                <w:szCs w:val="24"/>
                <w:lang w:val="uk-UA"/>
              </w:rPr>
              <w:t xml:space="preserve">моніторінгу</w:t>
            </w:r>
            <w:r>
              <w:rPr>
                <w:rFonts w:ascii="Times New Roman" w:hAnsi="Times New Roman" w:eastAsia="Times New Roman" w:cs="Times New Roman"/>
                <w:sz w:val="24"/>
                <w:szCs w:val="24"/>
                <w:lang w:val="uk-UA"/>
              </w:rPr>
              <w:t xml:space="preserve"> збоїв компонентів серверного вузла: процесори та/або пам'ять та/або жорсткі диски та/або SSD накопичувачі та/або блоки живлення та/або вентилятори та/або дискові контролери.</w:t>
            </w:r>
            <w:r/>
          </w:p>
          <w:p>
            <w:pPr>
              <w:pStyle w:val="740"/>
              <w:numPr>
                <w:ilvl w:val="0"/>
                <w:numId w:val="43"/>
              </w:numPr>
              <w:ind w:left="437"/>
              <w:jc w:val="both"/>
              <w:spacing w:after="0" w:line="240" w:lineRule="auto"/>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Наявність системи віддаленого керування сервером, яка повинна поставлятися разом з сервером; бути незалежною від встановленої операційної систем.</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1.10</w:t>
            </w:r>
            <w:r/>
          </w:p>
        </w:tc>
        <w:tc>
          <w:tcPr>
            <w:tcMar>
              <w:left w:w="28" w:type="dxa"/>
              <w:right w:w="28" w:type="dxa"/>
            </w:tcMa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pacing w:val="-4"/>
                <w:sz w:val="24"/>
                <w:szCs w:val="24"/>
              </w:rPr>
              <w:t xml:space="preserve">Умови сервісного обслуговування</w:t>
            </w:r>
            <w:r>
              <w:rPr>
                <w:rFonts w:ascii="Times New Roman" w:hAnsi="Times New Roman" w:cs="Times New Roman"/>
                <w:sz w:val="24"/>
                <w:szCs w:val="24"/>
              </w:rPr>
              <w:t xml:space="preserve">:</w:t>
            </w:r>
            <w:r/>
          </w:p>
        </w:tc>
        <w:tc>
          <w:tcPr>
            <w:gridSpan w:val="5"/>
            <w:tcW w:w="7229" w:type="dxa"/>
            <w:vAlign w:val="center"/>
            <w:textDirection w:val="lrTb"/>
            <w:noWrap w:val="false"/>
          </w:tcPr>
          <w:p>
            <w:pPr>
              <w:pStyle w:val="740"/>
              <w:numPr>
                <w:ilvl w:val="0"/>
                <w:numId w:val="43"/>
              </w:numPr>
              <w:ind w:left="437"/>
              <w:jc w:val="both"/>
              <w:spacing w:after="0" w:line="240" w:lineRule="auto"/>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Повинен мати єдину сервісну п</w:t>
            </w:r>
            <w:r>
              <w:rPr>
                <w:rFonts w:ascii="Times New Roman" w:hAnsi="Times New Roman" w:eastAsia="Times New Roman" w:cs="Times New Roman"/>
                <w:sz w:val="24"/>
                <w:szCs w:val="24"/>
                <w:lang w:val="uk-UA"/>
              </w:rPr>
              <w:t xml:space="preserve">ідтримку від виробника обладнання на програмно-апаратний комплекс в цілому не менше трьох (3) років 24х7 з обслуговуванням на місці експлуатації комплексу, з часом реакції на сервісне звернення 4 години, та можливістю неповернення носіїв, що вийшли з ладу.</w:t>
            </w:r>
            <w:r/>
          </w:p>
          <w:p>
            <w:pPr>
              <w:pStyle w:val="740"/>
              <w:numPr>
                <w:ilvl w:val="0"/>
                <w:numId w:val="43"/>
              </w:numPr>
              <w:ind w:left="437"/>
              <w:jc w:val="both"/>
              <w:spacing w:after="0" w:line="240" w:lineRule="auto"/>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Вбудоване програмне забезпечення має забезпечити наявність функціоналу постійної відправки діагностичної інформації про стан програмно-апаратного комплексу для </w:t>
            </w:r>
            <w:r>
              <w:rPr>
                <w:rFonts w:ascii="Times New Roman" w:hAnsi="Times New Roman" w:eastAsia="Times New Roman" w:cs="Times New Roman"/>
                <w:sz w:val="24"/>
                <w:szCs w:val="24"/>
                <w:lang w:val="uk-UA"/>
              </w:rPr>
              <w:t xml:space="preserve">проактивної</w:t>
            </w:r>
            <w:r>
              <w:rPr>
                <w:rFonts w:ascii="Times New Roman" w:hAnsi="Times New Roman" w:eastAsia="Times New Roman" w:cs="Times New Roman"/>
                <w:sz w:val="24"/>
                <w:szCs w:val="24"/>
                <w:lang w:val="uk-UA"/>
              </w:rPr>
              <w:t xml:space="preserve"> підтримки виробником. Жодні персональні, специфічні дані віртуальних машин, метадані не повинні передаватися.</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рішення:</w:t>
            </w:r>
            <w:r/>
          </w:p>
        </w:tc>
        <w:tc>
          <w:tcPr>
            <w:gridSpan w:val="5"/>
            <w:tcW w:w="7229" w:type="dxa"/>
            <w:vAlign w:val="center"/>
            <w:textDirection w:val="lrTb"/>
            <w:noWrap w:val="false"/>
          </w:tcPr>
          <w:p>
            <w:pPr>
              <w:pStyle w:val="740"/>
              <w:numPr>
                <w:ilvl w:val="0"/>
                <w:numId w:val="43"/>
              </w:numPr>
              <w:ind w:left="437"/>
              <w:jc w:val="both"/>
              <w:spacing w:after="0" w:line="240" w:lineRule="auto"/>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Виробником обладнання повинно бути реалізовано розгортання рішення програмно-апаратного комплексу, як апаратної частини так і програмного забезпечення із засобами управління на технічному майданчику Замовника. </w:t>
            </w:r>
            <w:r/>
          </w:p>
        </w:tc>
      </w:tr>
      <w:tr>
        <w:trPr/>
        <w:tc>
          <w:tcPr>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1.12</w:t>
            </w:r>
            <w:r/>
          </w:p>
        </w:tc>
        <w:tc>
          <w:tcPr>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Встановлене ПЗ:</w:t>
            </w:r>
            <w:r/>
          </w:p>
        </w:tc>
        <w:tc>
          <w:tcPr>
            <w:gridSpan w:val="5"/>
            <w:tcW w:w="7229" w:type="dxa"/>
            <w:vAlign w:val="center"/>
            <w:textDirection w:val="lrTb"/>
            <w:noWrap w:val="false"/>
          </w:tcPr>
          <w:p>
            <w:pPr>
              <w:pStyle w:val="740"/>
              <w:numPr>
                <w:ilvl w:val="0"/>
                <w:numId w:val="43"/>
              </w:numPr>
              <w:ind w:left="437"/>
              <w:jc w:val="both"/>
              <w:spacing w:after="0" w:line="240" w:lineRule="auto"/>
              <w:rPr>
                <w:rFonts w:ascii="Times New Roman" w:hAnsi="Times New Roman" w:eastAsia="Times New Roman" w:cs="Times New Roman"/>
                <w:bCs/>
                <w:sz w:val="24"/>
                <w:szCs w:val="24"/>
                <w:lang w:val="uk-UA"/>
              </w:rPr>
            </w:pPr>
            <w:r>
              <w:rPr>
                <w:rFonts w:ascii="Times New Roman" w:hAnsi="Times New Roman" w:eastAsia="Times New Roman" w:cs="Times New Roman"/>
                <w:bCs/>
                <w:sz w:val="24"/>
                <w:szCs w:val="24"/>
                <w:lang w:val="uk-UA"/>
              </w:rPr>
              <w:t xml:space="preserve">ПЗ </w:t>
            </w:r>
            <w:r>
              <w:rPr>
                <w:rFonts w:ascii="Times New Roman" w:hAnsi="Times New Roman" w:eastAsia="Times New Roman" w:cs="Times New Roman"/>
                <w:bCs/>
                <w:sz w:val="24"/>
                <w:szCs w:val="24"/>
                <w:lang w:val="uk-UA"/>
              </w:rPr>
              <w:t xml:space="preserve">Nutanix</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lang w:val="uk-UA"/>
              </w:rPr>
              <w:t xml:space="preserve">Cloud</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lang w:val="uk-UA"/>
              </w:rPr>
              <w:t xml:space="preserve">Infrastructure</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lang w:val="uk-UA"/>
              </w:rPr>
              <w:t xml:space="preserve">Pro</w:t>
            </w:r>
            <w:r>
              <w:rPr>
                <w:rFonts w:ascii="Times New Roman" w:hAnsi="Times New Roman" w:eastAsia="Times New Roman" w:cs="Times New Roman"/>
                <w:bCs/>
                <w:sz w:val="24"/>
                <w:szCs w:val="24"/>
                <w:lang w:val="uk-UA"/>
              </w:rPr>
              <w:t xml:space="preserve"> – з відповідною кількістю процесорних ліцензій. Термін підписки – три (3) роки </w:t>
            </w:r>
            <w:r>
              <w:rPr>
                <w:rFonts w:ascii="Times New Roman" w:hAnsi="Times New Roman" w:eastAsia="Times New Roman" w:cs="Times New Roman"/>
                <w:bCs/>
                <w:sz w:val="24"/>
                <w:szCs w:val="24"/>
                <w:lang w:val="uk-UA"/>
              </w:rPr>
              <w:t xml:space="preserve">Production</w:t>
            </w:r>
            <w:r>
              <w:rPr>
                <w:rFonts w:ascii="Times New Roman" w:hAnsi="Times New Roman" w:eastAsia="Times New Roman" w:cs="Times New Roman"/>
                <w:bCs/>
                <w:sz w:val="24"/>
                <w:szCs w:val="24"/>
                <w:lang w:val="uk-UA"/>
              </w:rPr>
              <w:t xml:space="preserve"> </w:t>
            </w:r>
            <w:r>
              <w:rPr>
                <w:rFonts w:ascii="Times New Roman" w:hAnsi="Times New Roman" w:eastAsia="Times New Roman" w:cs="Times New Roman"/>
                <w:bCs/>
                <w:sz w:val="24"/>
                <w:szCs w:val="24"/>
                <w:lang w:val="uk-UA"/>
              </w:rPr>
              <w:t xml:space="preserve">support</w:t>
            </w:r>
            <w:r>
              <w:rPr>
                <w:rFonts w:ascii="Times New Roman" w:hAnsi="Times New Roman" w:eastAsia="Times New Roman" w:cs="Times New Roman"/>
                <w:bCs/>
                <w:sz w:val="24"/>
                <w:szCs w:val="24"/>
                <w:lang w:val="uk-UA"/>
              </w:rPr>
              <w:t xml:space="preserve">;</w:t>
            </w:r>
            <w:r/>
          </w:p>
        </w:tc>
      </w:tr>
      <w:tr>
        <w:trPr/>
        <w:tc>
          <w:tcPr>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1.13</w:t>
            </w:r>
            <w:r/>
          </w:p>
        </w:tc>
        <w:tc>
          <w:tcPr>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Функціональні вимоги програмного забезпечення віртуалізації (програмне забезпечення HCI)</w:t>
            </w:r>
            <w:r/>
          </w:p>
        </w:tc>
        <w:tc>
          <w:tcPr>
            <w:gridSpan w:val="5"/>
            <w:tcW w:w="7229" w:type="dxa"/>
            <w:vAlign w:val="center"/>
            <w:textDirection w:val="lrTb"/>
            <w:noWrap w:val="false"/>
          </w:tcPr>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бути масштабованою, додаючи більше серверів (серверів x86) до стеку (кластеру), а також додаючи диски до вибраних серверів.</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Підтримка функціоналу </w:t>
            </w:r>
            <w:r>
              <w:rPr>
                <w:rFonts w:ascii="Times New Roman" w:hAnsi="Times New Roman" w:cs="Times New Roman"/>
                <w:sz w:val="24"/>
                <w:szCs w:val="24"/>
                <w:lang w:val="en-US"/>
              </w:rPr>
              <w:t xml:space="preserve">RDMA</w:t>
            </w:r>
            <w:r>
              <w:rPr>
                <w:rFonts w:ascii="Times New Roman" w:hAnsi="Times New Roman" w:cs="Times New Roman"/>
                <w:sz w:val="24"/>
                <w:szCs w:val="24"/>
              </w:rPr>
              <w:t xml:space="preserve"> на рівні мережевих компонентів кластеру. </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механізм високої доступності в межах одного кластера, що захищає від збою будь-який окремий елемент кластера (сервер, жорсткий диск або SSD).</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мати інтелектуальний механізм балансування навантаження, який гарантує, що нова віртуальна машина розташована на найменш завантаженому сервері.</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бути гнучкою, щоб підтримувати гетерогенний кластер, що означає, що в одному кластері має бути можливість змішувати сервери з різною кількістю дисків, різними розмірами дисків і різними типами ЦП.</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підтримуваних серверів в одному кластері має становити не менше 32 серверів.</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базуватися на серверах x86-64.</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Архітектура мережі має бути відкритою, надаючи замовнику свободу вибору та захищаючи інвестиції. Сторона-замовник не приймає жодних обмежень, обмежуючи свій вибір лише конкретною моделлю комутатора чи постачальником.</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Запропоноване </w:t>
            </w:r>
            <w:r>
              <w:rPr>
                <w:rFonts w:ascii="Times New Roman" w:hAnsi="Times New Roman" w:cs="Times New Roman"/>
                <w:sz w:val="24"/>
                <w:szCs w:val="24"/>
              </w:rPr>
              <w:t xml:space="preserve">гіперконвергентне</w:t>
            </w:r>
            <w:r>
              <w:rPr>
                <w:rFonts w:ascii="Times New Roman" w:hAnsi="Times New Roman" w:cs="Times New Roman"/>
                <w:sz w:val="24"/>
                <w:szCs w:val="24"/>
              </w:rPr>
              <w:t xml:space="preserve"> рішення (HCI) повинно мати можливість підтримувати </w:t>
            </w:r>
            <w:r>
              <w:rPr>
                <w:rFonts w:ascii="Times New Roman" w:hAnsi="Times New Roman" w:cs="Times New Roman"/>
                <w:sz w:val="24"/>
                <w:szCs w:val="24"/>
              </w:rPr>
              <w:t xml:space="preserve">мікросегментацію</w:t>
            </w:r>
            <w:r>
              <w:rPr>
                <w:rFonts w:ascii="Times New Roman" w:hAnsi="Times New Roman" w:cs="Times New Roman"/>
                <w:sz w:val="24"/>
                <w:szCs w:val="24"/>
              </w:rPr>
              <w:t xml:space="preserve"> мережі з метою безпеки.</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стиснення/</w:t>
            </w:r>
            <w:r>
              <w:rPr>
                <w:rFonts w:ascii="Times New Roman" w:hAnsi="Times New Roman" w:cs="Times New Roman"/>
                <w:sz w:val="24"/>
                <w:szCs w:val="24"/>
              </w:rPr>
              <w:t xml:space="preserve">дедуплікацію</w:t>
            </w:r>
            <w:r>
              <w:rPr>
                <w:rFonts w:ascii="Times New Roman" w:hAnsi="Times New Roman" w:cs="Times New Roman"/>
                <w:sz w:val="24"/>
                <w:szCs w:val="24"/>
              </w:rPr>
              <w:t xml:space="preserve">, кодування стиснення (</w:t>
            </w:r>
            <w:r>
              <w:rPr>
                <w:rFonts w:ascii="Times New Roman" w:hAnsi="Times New Roman" w:cs="Times New Roman"/>
                <w:sz w:val="24"/>
                <w:szCs w:val="24"/>
              </w:rPr>
              <w:t xml:space="preserve">Erasure</w:t>
            </w:r>
            <w:r>
              <w:rPr>
                <w:rFonts w:ascii="Times New Roman" w:hAnsi="Times New Roman" w:cs="Times New Roman"/>
                <w:sz w:val="24"/>
                <w:szCs w:val="24"/>
              </w:rPr>
              <w:t xml:space="preserve"> </w:t>
            </w:r>
            <w:r>
              <w:rPr>
                <w:rFonts w:ascii="Times New Roman" w:hAnsi="Times New Roman" w:cs="Times New Roman"/>
                <w:sz w:val="24"/>
                <w:szCs w:val="24"/>
              </w:rPr>
              <w:t xml:space="preserve">Coding</w:t>
            </w:r>
            <w:r>
              <w:rPr>
                <w:rFonts w:ascii="Times New Roman" w:hAnsi="Times New Roman" w:cs="Times New Roman"/>
                <w:sz w:val="24"/>
                <w:szCs w:val="24"/>
              </w:rPr>
              <w:t xml:space="preserve">-X) як в режимі онлайн, так і в режимі </w:t>
            </w:r>
            <w:r>
              <w:rPr>
                <w:rFonts w:ascii="Times New Roman" w:hAnsi="Times New Roman" w:cs="Times New Roman"/>
                <w:sz w:val="24"/>
                <w:szCs w:val="24"/>
              </w:rPr>
              <w:t xml:space="preserve">постпроцесу</w:t>
            </w:r>
            <w:r>
              <w:rPr>
                <w:rFonts w:ascii="Times New Roman" w:hAnsi="Times New Roman" w:cs="Times New Roman"/>
                <w:sz w:val="24"/>
                <w:szCs w:val="24"/>
              </w:rPr>
              <w:t xml:space="preserve">.</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високу доступність відповідно до </w:t>
            </w:r>
            <w:r>
              <w:rPr>
                <w:rFonts w:ascii="Times New Roman" w:hAnsi="Times New Roman" w:cs="Times New Roman"/>
                <w:sz w:val="24"/>
                <w:szCs w:val="24"/>
              </w:rPr>
              <w:t xml:space="preserve">фактора</w:t>
            </w:r>
            <w:r>
              <w:rPr>
                <w:rFonts w:ascii="Times New Roman" w:hAnsi="Times New Roman" w:cs="Times New Roman"/>
                <w:sz w:val="24"/>
                <w:szCs w:val="24"/>
              </w:rPr>
              <w:t xml:space="preserve"> надлишковості 2 (RF-2) – одна повна копія даних має бути завжди присутня.</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Збій будь-якого окремого сервера, жорсткого диска чи диска SSD у кластері не може спричинити втрату будь-яких збережених даних.</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підтримувати керування та автоматизацію для всіх послуг.</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підтримувати механізм самовідновлення, тобто в разі збою диска або сервера вона повинна негайно розпочати процедуру відновлення втраченої копії даних.</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розподілену файлову систему, розподіляючи дані між усіма серверами, але вона має представляти себе як єдине сховище даних для віртуальних машин.</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управління якістю послуг збереження даних для кожної віртуальної машини (VM </w:t>
            </w:r>
            <w:r>
              <w:rPr>
                <w:rFonts w:ascii="Times New Roman" w:hAnsi="Times New Roman" w:cs="Times New Roman"/>
                <w:sz w:val="24"/>
                <w:szCs w:val="24"/>
              </w:rPr>
              <w:t xml:space="preserve">Centric</w:t>
            </w:r>
            <w:r>
              <w:rPr>
                <w:rFonts w:ascii="Times New Roman" w:hAnsi="Times New Roman" w:cs="Times New Roman"/>
                <w:sz w:val="24"/>
                <w:szCs w:val="24"/>
              </w:rPr>
              <w:t xml:space="preserve"> </w:t>
            </w:r>
            <w:r>
              <w:rPr>
                <w:rFonts w:ascii="Times New Roman" w:hAnsi="Times New Roman" w:cs="Times New Roman"/>
                <w:sz w:val="24"/>
                <w:szCs w:val="24"/>
              </w:rPr>
              <w:t xml:space="preserve">Storage</w:t>
            </w:r>
            <w:r>
              <w:rPr>
                <w:rFonts w:ascii="Times New Roman" w:hAnsi="Times New Roman" w:cs="Times New Roman"/>
                <w:sz w:val="24"/>
                <w:szCs w:val="24"/>
              </w:rPr>
              <w:t xml:space="preserve"> </w:t>
            </w:r>
            <w:r>
              <w:rPr>
                <w:rFonts w:ascii="Times New Roman" w:hAnsi="Times New Roman" w:cs="Times New Roman"/>
                <w:sz w:val="24"/>
                <w:szCs w:val="24"/>
              </w:rPr>
              <w:t xml:space="preserve">QoS</w:t>
            </w:r>
            <w:r>
              <w:rPr>
                <w:rFonts w:ascii="Times New Roman" w:hAnsi="Times New Roman" w:cs="Times New Roman"/>
                <w:sz w:val="24"/>
                <w:szCs w:val="24"/>
              </w:rPr>
              <w:t xml:space="preserve">).</w:t>
            </w:r>
            <w:r/>
          </w:p>
          <w:p>
            <w:pPr>
              <w:numPr>
                <w:ilvl w:val="0"/>
                <w:numId w:val="44"/>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підтримувати узгоджені знімки додатків (</w:t>
            </w:r>
            <w:r>
              <w:rPr>
                <w:rFonts w:ascii="Times New Roman" w:hAnsi="Times New Roman" w:cs="Times New Roman"/>
                <w:sz w:val="24"/>
                <w:szCs w:val="24"/>
              </w:rPr>
              <w:t xml:space="preserve">Application</w:t>
            </w:r>
            <w:r>
              <w:rPr>
                <w:rFonts w:ascii="Times New Roman" w:hAnsi="Times New Roman" w:cs="Times New Roman"/>
                <w:sz w:val="24"/>
                <w:szCs w:val="24"/>
              </w:rPr>
              <w:t xml:space="preserve"> </w:t>
            </w:r>
            <w:r>
              <w:rPr>
                <w:rFonts w:ascii="Times New Roman" w:hAnsi="Times New Roman" w:cs="Times New Roman"/>
                <w:sz w:val="24"/>
                <w:szCs w:val="24"/>
              </w:rPr>
              <w:t xml:space="preserve">Consistent</w:t>
            </w:r>
            <w:r>
              <w:rPr>
                <w:rFonts w:ascii="Times New Roman" w:hAnsi="Times New Roman" w:cs="Times New Roman"/>
                <w:sz w:val="24"/>
                <w:szCs w:val="24"/>
              </w:rPr>
              <w:t xml:space="preserve"> </w:t>
            </w:r>
            <w:r>
              <w:rPr>
                <w:rFonts w:ascii="Times New Roman" w:hAnsi="Times New Roman" w:cs="Times New Roman"/>
                <w:sz w:val="24"/>
                <w:szCs w:val="24"/>
              </w:rPr>
              <w:t xml:space="preserve">Snapshots</w:t>
            </w:r>
            <w:r>
              <w:rPr>
                <w:rFonts w:ascii="Times New Roman" w:hAnsi="Times New Roman" w:cs="Times New Roman"/>
                <w:sz w:val="24"/>
                <w:szCs w:val="24"/>
              </w:rPr>
              <w:t xml:space="preserve">).</w:t>
            </w:r>
            <w:r/>
          </w:p>
        </w:tc>
      </w:tr>
      <w:tr>
        <w:trPr/>
        <w:tc>
          <w:tcPr>
            <w:shd w:val="clear" w:color="auto" w:fill="bfbfbf" w:themeFill="background1" w:themeFillShade="BF"/>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jc w:val="cente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 з/п</w:t>
            </w:r>
            <w:r/>
          </w:p>
        </w:tc>
        <w:tc>
          <w:tcPr>
            <w:gridSpan w:val="2"/>
            <w:shd w:val="clear" w:color="auto" w:fill="bfbfbf" w:themeFill="background1" w:themeFillShade="BF"/>
            <w:tcBorders>
              <w:top w:val="single" w:color="000000" w:sz="4" w:space="0"/>
              <w:left w:val="single" w:color="000000" w:sz="4" w:space="0"/>
              <w:bottom w:val="single" w:color="000000" w:sz="4" w:space="0"/>
              <w:right w:val="single" w:color="000000" w:sz="4" w:space="0"/>
            </w:tcBorders>
            <w:tcW w:w="5387" w:type="dxa"/>
            <w:vAlign w:val="center"/>
            <w:textDirection w:val="lrTb"/>
            <w:noWrap w:val="false"/>
          </w:tcPr>
          <w:p>
            <w:pPr>
              <w:jc w:val="center"/>
              <w:spacing w:after="0" w:line="240" w:lineRule="auto"/>
              <w:rPr>
                <w:rFonts w:ascii="Times New Roman" w:hAnsi="Times New Roman" w:cs="Times New Roman"/>
                <w:b/>
                <w:sz w:val="24"/>
                <w:szCs w:val="24"/>
                <w14:ligatures w14:val="standardContextual"/>
              </w:rPr>
            </w:pPr>
            <w:r>
              <w:rPr>
                <w:rFonts w:ascii="Times New Roman" w:hAnsi="Times New Roman" w:cs="Times New Roman"/>
                <w:b/>
                <w:sz w:val="24"/>
                <w:szCs w:val="24"/>
              </w:rPr>
              <w:t xml:space="preserve">Найменування обладнання, технічні характеристики та вимоги до обладнання</w:t>
            </w:r>
            <w:r/>
          </w:p>
        </w:tc>
        <w:tc>
          <w:tcPr>
            <w:gridSpan w:val="2"/>
            <w:shd w:val="clear" w:color="auto" w:fill="bfbfbf" w:themeFill="background1" w:themeFillShade="BF"/>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781"/>
              <w:ind w:left="-105"/>
              <w:jc w:val="center"/>
              <w:spacing w:after="0"/>
              <w:widowControl/>
              <w:rPr>
                <w:b/>
                <w:sz w:val="24"/>
                <w:szCs w:val="24"/>
                <w:lang w:val="uk-UA"/>
                <w14:ligatures w14:val="standardContextual"/>
              </w:rPr>
            </w:pPr>
            <w:r>
              <w:rPr>
                <w:b/>
                <w:sz w:val="24"/>
                <w:szCs w:val="24"/>
                <w:lang w:val="uk-UA"/>
              </w:rPr>
              <w:t xml:space="preserve">Одиниця виміру</w:t>
            </w:r>
            <w:r/>
          </w:p>
        </w:tc>
        <w:tc>
          <w:tcPr>
            <w:gridSpan w:val="2"/>
            <w:shd w:val="clear" w:color="auto" w:fill="bfbfbf" w:themeFill="background1" w:themeFillShade="B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781"/>
              <w:ind w:left="34"/>
              <w:jc w:val="center"/>
              <w:spacing w:after="0"/>
              <w:rPr>
                <w:sz w:val="24"/>
                <w:szCs w:val="24"/>
                <w:lang w:val="uk-UA" w:eastAsia="uk-UA"/>
              </w:rPr>
            </w:pPr>
            <w:r>
              <w:rPr>
                <w:b/>
                <w:sz w:val="24"/>
                <w:szCs w:val="24"/>
                <w:lang w:val="uk-UA"/>
              </w:rPr>
              <w:t xml:space="preserve">Кількість</w:t>
            </w:r>
            <w:r/>
          </w:p>
        </w:tc>
      </w:tr>
      <w:tr>
        <w:trPr/>
        <w:tc>
          <w:tcPr>
            <w:shd w:val="clear" w:color="auto" w:fill="bfbfbf" w:themeFill="background1" w:themeFillShade="BF"/>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jc w:val="cente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1</w:t>
            </w:r>
            <w:r/>
          </w:p>
        </w:tc>
        <w:tc>
          <w:tcPr>
            <w:gridSpan w:val="2"/>
            <w:shd w:val="clear" w:color="auto" w:fill="bfbfbf" w:themeFill="background1" w:themeFillShade="BF"/>
            <w:tcBorders>
              <w:top w:val="single" w:color="000000" w:sz="4" w:space="0"/>
              <w:left w:val="single" w:color="000000" w:sz="4" w:space="0"/>
              <w:bottom w:val="single" w:color="000000" w:sz="4" w:space="0"/>
              <w:right w:val="single" w:color="000000" w:sz="4" w:space="0"/>
            </w:tcBorders>
            <w:tcW w:w="5387" w:type="dxa"/>
            <w:vAlign w:val="center"/>
            <w:textDirection w:val="lrTb"/>
            <w:noWrap w:val="false"/>
          </w:tcPr>
          <w:p>
            <w:pPr>
              <w:jc w:val="center"/>
              <w:spacing w:after="0" w:line="240" w:lineRule="auto"/>
              <w:rPr>
                <w:rFonts w:ascii="Times New Roman" w:hAnsi="Times New Roman" w:cs="Times New Roman"/>
                <w:b/>
                <w:sz w:val="24"/>
                <w:szCs w:val="24"/>
                <w14:ligatures w14:val="standardContextual"/>
              </w:rPr>
            </w:pPr>
            <w:r>
              <w:rPr>
                <w:rFonts w:ascii="Times New Roman" w:hAnsi="Times New Roman" w:cs="Times New Roman"/>
                <w:b/>
                <w:sz w:val="24"/>
                <w:szCs w:val="24"/>
              </w:rPr>
              <w:t xml:space="preserve">2</w:t>
            </w:r>
            <w:r/>
          </w:p>
        </w:tc>
        <w:tc>
          <w:tcPr>
            <w:gridSpan w:val="2"/>
            <w:shd w:val="clear" w:color="auto" w:fill="bfbfbf" w:themeFill="background1" w:themeFillShade="BF"/>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781"/>
              <w:jc w:val="center"/>
              <w:spacing w:after="0"/>
              <w:widowControl/>
              <w:rPr>
                <w:b/>
                <w:sz w:val="24"/>
                <w:szCs w:val="24"/>
                <w:lang w:val="uk-UA"/>
                <w14:ligatures w14:val="standardContextual"/>
              </w:rPr>
            </w:pPr>
            <w:r>
              <w:rPr>
                <w:b/>
                <w:sz w:val="24"/>
                <w:szCs w:val="24"/>
                <w:lang w:val="uk-UA"/>
              </w:rPr>
              <w:t xml:space="preserve">3</w:t>
            </w:r>
            <w:r/>
          </w:p>
        </w:tc>
        <w:tc>
          <w:tcPr>
            <w:gridSpan w:val="2"/>
            <w:shd w:val="clear" w:color="auto" w:fill="bfbfbf" w:themeFill="background1" w:themeFillShade="BF"/>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781"/>
              <w:jc w:val="center"/>
              <w:spacing w:after="0"/>
              <w:rPr>
                <w:sz w:val="24"/>
                <w:szCs w:val="24"/>
                <w:lang w:val="uk-UA" w:eastAsia="uk-UA"/>
              </w:rPr>
            </w:pPr>
            <w:r>
              <w:rPr>
                <w:b/>
                <w:sz w:val="24"/>
                <w:szCs w:val="24"/>
                <w:lang w:val="uk-UA"/>
              </w:rPr>
              <w:t xml:space="preserve">4</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jc w:val="cente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2.</w:t>
            </w:r>
            <w:r/>
          </w:p>
        </w:tc>
        <w:tc>
          <w:tcPr>
            <w:gridSpan w:val="2"/>
            <w:tcBorders>
              <w:top w:val="single" w:color="000000" w:sz="4" w:space="0"/>
              <w:left w:val="single" w:color="000000" w:sz="4" w:space="0"/>
              <w:bottom w:val="single" w:color="000000" w:sz="4" w:space="0"/>
              <w:right w:val="single" w:color="000000" w:sz="4" w:space="0"/>
            </w:tcBorders>
            <w:tcW w:w="5387" w:type="dxa"/>
            <w:vAlign w:val="center"/>
            <w:textDirection w:val="lrTb"/>
            <w:noWrap w:val="false"/>
          </w:tcPr>
          <w:p>
            <w:pPr>
              <w:jc w:val="center"/>
              <w:spacing w:after="0" w:line="240" w:lineRule="auto"/>
              <w:rPr>
                <w:rFonts w:ascii="Times New Roman" w:hAnsi="Times New Roman" w:cs="Times New Roman"/>
                <w:b/>
                <w:sz w:val="24"/>
                <w:szCs w:val="24"/>
                <w14:ligatures w14:val="standardContextual"/>
              </w:rPr>
            </w:pPr>
            <w:r>
              <w:rPr>
                <w:rFonts w:ascii="Times New Roman" w:hAnsi="Times New Roman" w:cs="Times New Roman"/>
                <w:b/>
                <w:sz w:val="24"/>
                <w:szCs w:val="24"/>
                <w14:ligatures w14:val="standardContextual"/>
              </w:rPr>
              <w:t xml:space="preserve">Уніфікована система для зберігання резервних копій з функціоналом </w:t>
            </w:r>
            <w:r>
              <w:rPr>
                <w:rFonts w:ascii="Times New Roman" w:hAnsi="Times New Roman" w:cs="Times New Roman"/>
                <w:b/>
                <w:sz w:val="24"/>
                <w:szCs w:val="24"/>
                <w14:ligatures w14:val="standardContextual"/>
              </w:rPr>
              <w:t xml:space="preserve">дедублікації</w:t>
            </w:r>
            <w:r>
              <w:rPr>
                <w:rFonts w:ascii="Times New Roman" w:hAnsi="Times New Roman" w:cs="Times New Roman"/>
                <w:b/>
                <w:sz w:val="24"/>
                <w:szCs w:val="24"/>
                <w14:ligatures w14:val="standardContextual"/>
              </w:rPr>
              <w:t xml:space="preserve"> даних</w:t>
            </w:r>
            <w:r/>
          </w:p>
        </w:tc>
        <w:tc>
          <w:tcPr>
            <w:gridSpan w:val="2"/>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781"/>
              <w:ind w:left="426"/>
              <w:jc w:val="center"/>
              <w:spacing w:after="0"/>
              <w:widowControl/>
              <w:rPr>
                <w:b/>
                <w:sz w:val="24"/>
                <w:szCs w:val="24"/>
                <w:lang w:val="uk-UA"/>
                <w14:ligatures w14:val="standardContextual"/>
              </w:rPr>
            </w:pPr>
            <w:r>
              <w:rPr>
                <w:b/>
                <w:sz w:val="24"/>
                <w:szCs w:val="24"/>
                <w:lang w:val="uk-UA"/>
                <w14:ligatures w14:val="standardContextual"/>
              </w:rPr>
              <w:t xml:space="preserve">комплект</w:t>
            </w:r>
            <w:r/>
          </w:p>
        </w:tc>
        <w:tc>
          <w:tcPr>
            <w:gridSpan w:val="2"/>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781"/>
              <w:ind w:left="34"/>
              <w:jc w:val="center"/>
              <w:spacing w:after="0"/>
              <w:rPr>
                <w:sz w:val="24"/>
                <w:szCs w:val="24"/>
                <w:lang w:val="uk-UA" w:eastAsia="uk-UA"/>
              </w:rPr>
            </w:pPr>
            <w:r>
              <w:rPr>
                <w:b/>
                <w:bCs/>
                <w:sz w:val="24"/>
                <w:szCs w:val="24"/>
                <w:lang w:val="uk-UA"/>
              </w:rPr>
              <w:t xml:space="preserve">1</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2.1</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Форм-фактор:</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after="0"/>
              <w:rPr>
                <w:sz w:val="24"/>
                <w:szCs w:val="24"/>
                <w:lang w:val="uk-UA" w:eastAsia="uk-UA"/>
              </w:rPr>
            </w:pPr>
            <w:r>
              <w:rPr>
                <w:sz w:val="24"/>
                <w:szCs w:val="24"/>
                <w:lang w:val="uk-UA" w:eastAsia="uk-UA"/>
              </w:rPr>
              <w:t xml:space="preserve">Для встановлення в 19-дюймову стійку.</w:t>
            </w:r>
            <w:r/>
          </w:p>
          <w:p>
            <w:pPr>
              <w:pStyle w:val="781"/>
              <w:numPr>
                <w:ilvl w:val="0"/>
                <w:numId w:val="45"/>
              </w:numPr>
              <w:ind w:left="426" w:hanging="284"/>
              <w:spacing w:after="0"/>
              <w:rPr>
                <w:sz w:val="24"/>
                <w:szCs w:val="24"/>
                <w:lang w:val="uk-UA" w:eastAsia="uk-UA"/>
              </w:rPr>
            </w:pPr>
            <w:r>
              <w:rPr>
                <w:sz w:val="24"/>
                <w:szCs w:val="24"/>
                <w:lang w:val="uk-UA" w:eastAsia="uk-UA"/>
              </w:rPr>
              <w:t xml:space="preserve">Розмір не повинен перевищувати 2U.</w:t>
            </w:r>
            <w:r/>
          </w:p>
          <w:p>
            <w:pPr>
              <w:pStyle w:val="781"/>
              <w:numPr>
                <w:ilvl w:val="0"/>
                <w:numId w:val="45"/>
              </w:numPr>
              <w:ind w:left="426" w:hanging="284"/>
              <w:spacing w:after="0"/>
              <w:rPr>
                <w:sz w:val="24"/>
                <w:szCs w:val="24"/>
                <w:lang w:val="uk-UA" w:eastAsia="uk-UA"/>
              </w:rPr>
            </w:pPr>
            <w:r>
              <w:rPr>
                <w:sz w:val="24"/>
                <w:szCs w:val="24"/>
                <w:lang w:val="uk-UA" w:eastAsia="uk-UA"/>
              </w:rPr>
              <w:t xml:space="preserve">Монтажний набір для встановлення в стійку повинен бути включений.</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2.2</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Архітектура:</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after="0"/>
              <w:rPr>
                <w:sz w:val="24"/>
                <w:szCs w:val="24"/>
                <w:lang w:val="uk-UA" w:eastAsia="uk-UA"/>
              </w:rPr>
            </w:pPr>
            <w:r>
              <w:rPr>
                <w:sz w:val="24"/>
                <w:szCs w:val="24"/>
                <w:lang w:val="uk-UA" w:eastAsia="uk-UA"/>
              </w:rPr>
              <w:t xml:space="preserve">Підтримка рівнів RAID з можливістю захисту від виходу з ладу до 3х (трьох) накопичувачів без втрати даних або еквівалент з точки зору продуктивності та </w:t>
            </w:r>
            <w:r>
              <w:rPr>
                <w:sz w:val="24"/>
                <w:szCs w:val="24"/>
                <w:lang w:val="uk-UA" w:eastAsia="uk-UA"/>
              </w:rPr>
              <w:t xml:space="preserve">відмовостійкості</w:t>
            </w:r>
            <w:r>
              <w:rPr>
                <w:sz w:val="24"/>
                <w:szCs w:val="24"/>
                <w:lang w:val="uk-UA" w:eastAsia="uk-UA"/>
              </w:rPr>
              <w:t xml:space="preserve">.</w:t>
            </w:r>
            <w:r/>
          </w:p>
          <w:p>
            <w:pPr>
              <w:pStyle w:val="781"/>
              <w:numPr>
                <w:ilvl w:val="0"/>
                <w:numId w:val="45"/>
              </w:numPr>
              <w:ind w:left="426" w:hanging="284"/>
              <w:spacing w:after="0"/>
              <w:rPr>
                <w:sz w:val="24"/>
                <w:szCs w:val="24"/>
                <w:lang w:val="uk-UA" w:eastAsia="uk-UA"/>
              </w:rPr>
            </w:pPr>
            <w:r>
              <w:rPr>
                <w:sz w:val="24"/>
                <w:szCs w:val="24"/>
                <w:lang w:val="uk-UA" w:eastAsia="uk-UA"/>
              </w:rPr>
              <w:t xml:space="preserve">Не менше 2 (двох) контролерів на систему, які працюють в режимі </w:t>
            </w:r>
            <w:r>
              <w:rPr>
                <w:sz w:val="24"/>
                <w:szCs w:val="24"/>
                <w:lang w:val="uk-UA" w:eastAsia="uk-UA"/>
              </w:rPr>
              <w:t xml:space="preserve">active-active</w:t>
            </w:r>
            <w:r>
              <w:rPr>
                <w:sz w:val="24"/>
                <w:szCs w:val="24"/>
                <w:lang w:val="uk-UA" w:eastAsia="uk-UA"/>
              </w:rPr>
              <w:t xml:space="preserve"> з балансуванням робочих навантажень.</w:t>
            </w:r>
            <w:r/>
          </w:p>
          <w:p>
            <w:pPr>
              <w:pStyle w:val="781"/>
              <w:numPr>
                <w:ilvl w:val="0"/>
                <w:numId w:val="45"/>
              </w:numPr>
              <w:ind w:left="426" w:hanging="284"/>
              <w:spacing w:after="0"/>
              <w:rPr>
                <w:sz w:val="24"/>
                <w:szCs w:val="24"/>
                <w:lang w:val="uk-UA" w:eastAsia="uk-UA"/>
              </w:rPr>
            </w:pPr>
            <w:r>
              <w:rPr>
                <w:sz w:val="24"/>
                <w:szCs w:val="24"/>
                <w:lang w:val="uk-UA" w:eastAsia="uk-UA"/>
              </w:rPr>
              <w:t xml:space="preserve">Системна пам'ять не менше 128 ГБ на систему</w:t>
            </w:r>
            <w:r/>
          </w:p>
          <w:p>
            <w:pPr>
              <w:pStyle w:val="781"/>
              <w:numPr>
                <w:ilvl w:val="0"/>
                <w:numId w:val="45"/>
              </w:numPr>
              <w:ind w:left="426" w:hanging="284"/>
              <w:spacing w:after="0"/>
              <w:rPr>
                <w:sz w:val="24"/>
                <w:szCs w:val="24"/>
                <w:lang w:val="uk-UA" w:eastAsia="uk-UA"/>
              </w:rPr>
            </w:pPr>
            <w:r>
              <w:rPr>
                <w:sz w:val="24"/>
                <w:szCs w:val="24"/>
                <w:lang w:val="uk-UA" w:eastAsia="uk-UA"/>
              </w:rPr>
              <w:t xml:space="preserve">Наявність технології зберігання  вмісту кеш-пам'яті контролера на енергонезалежну пам'ять у разі аварійного відключення системи.</w:t>
            </w:r>
            <w:r/>
          </w:p>
          <w:p>
            <w:pPr>
              <w:pStyle w:val="781"/>
              <w:numPr>
                <w:ilvl w:val="0"/>
                <w:numId w:val="45"/>
              </w:numPr>
              <w:ind w:left="426" w:hanging="284"/>
              <w:spacing w:after="0"/>
              <w:rPr>
                <w:sz w:val="24"/>
                <w:szCs w:val="24"/>
                <w:lang w:val="uk-UA" w:eastAsia="uk-UA"/>
              </w:rPr>
            </w:pPr>
            <w:r>
              <w:rPr>
                <w:sz w:val="24"/>
                <w:szCs w:val="24"/>
                <w:lang w:val="uk-UA" w:eastAsia="uk-UA"/>
              </w:rPr>
              <w:t xml:space="preserve">Наявність не менше 8 (восьми) </w:t>
            </w:r>
            <w:r>
              <w:rPr>
                <w:sz w:val="24"/>
                <w:szCs w:val="24"/>
                <w:lang w:val="uk-UA" w:eastAsia="uk-UA"/>
              </w:rPr>
              <w:t xml:space="preserve">хост</w:t>
            </w:r>
            <w:r>
              <w:rPr>
                <w:sz w:val="24"/>
                <w:szCs w:val="24"/>
                <w:lang w:val="uk-UA" w:eastAsia="uk-UA"/>
              </w:rPr>
              <w:t xml:space="preserve">-портів з підтримкою протоколів: 10/25 </w:t>
            </w:r>
            <w:r>
              <w:rPr>
                <w:sz w:val="24"/>
                <w:szCs w:val="24"/>
                <w:lang w:val="uk-UA" w:eastAsia="uk-UA"/>
              </w:rPr>
              <w:t xml:space="preserve">Gb</w:t>
            </w:r>
            <w:r>
              <w:rPr>
                <w:sz w:val="24"/>
                <w:szCs w:val="24"/>
                <w:lang w:val="uk-UA" w:eastAsia="uk-UA"/>
              </w:rPr>
              <w:t xml:space="preserve"> </w:t>
            </w:r>
            <w:r>
              <w:rPr>
                <w:sz w:val="24"/>
                <w:szCs w:val="24"/>
                <w:lang w:val="uk-UA" w:eastAsia="uk-UA"/>
              </w:rPr>
              <w:t xml:space="preserve">Ethernet</w:t>
            </w:r>
            <w:r>
              <w:rPr>
                <w:sz w:val="24"/>
                <w:szCs w:val="24"/>
                <w:lang w:val="uk-UA" w:eastAsia="uk-UA"/>
              </w:rPr>
              <w:t xml:space="preserve">; 16/32 </w:t>
            </w:r>
            <w:r>
              <w:rPr>
                <w:sz w:val="24"/>
                <w:szCs w:val="24"/>
                <w:lang w:val="uk-UA" w:eastAsia="uk-UA"/>
              </w:rPr>
              <w:t xml:space="preserve">Gb</w:t>
            </w:r>
            <w:r>
              <w:rPr>
                <w:sz w:val="24"/>
                <w:szCs w:val="24"/>
                <w:lang w:val="uk-UA" w:eastAsia="uk-UA"/>
              </w:rPr>
              <w:t xml:space="preserve"> </w:t>
            </w:r>
            <w:r>
              <w:rPr>
                <w:sz w:val="24"/>
                <w:szCs w:val="24"/>
                <w:lang w:val="uk-UA" w:eastAsia="uk-UA"/>
              </w:rPr>
              <w:t xml:space="preserve">Fibre</w:t>
            </w:r>
            <w:r>
              <w:rPr>
                <w:sz w:val="24"/>
                <w:szCs w:val="24"/>
                <w:lang w:val="uk-UA" w:eastAsia="uk-UA"/>
              </w:rPr>
              <w:t xml:space="preserve"> </w:t>
            </w:r>
            <w:r>
              <w:rPr>
                <w:sz w:val="24"/>
                <w:szCs w:val="24"/>
                <w:lang w:val="uk-UA" w:eastAsia="uk-UA"/>
              </w:rPr>
              <w:t xml:space="preserve">Channel</w:t>
            </w:r>
            <w:r>
              <w:rPr>
                <w:sz w:val="24"/>
                <w:szCs w:val="24"/>
                <w:lang w:val="uk-UA" w:eastAsia="uk-UA"/>
              </w:rPr>
              <w:t xml:space="preserve">.</w:t>
            </w:r>
            <w:r/>
          </w:p>
          <w:p>
            <w:pPr>
              <w:pStyle w:val="781"/>
              <w:numPr>
                <w:ilvl w:val="0"/>
                <w:numId w:val="45"/>
              </w:numPr>
              <w:ind w:left="426" w:hanging="284"/>
              <w:spacing w:after="0"/>
              <w:rPr>
                <w:sz w:val="24"/>
                <w:szCs w:val="24"/>
                <w:lang w:val="uk-UA" w:eastAsia="uk-UA"/>
              </w:rPr>
            </w:pPr>
            <w:r>
              <w:rPr>
                <w:sz w:val="24"/>
                <w:szCs w:val="24"/>
                <w:lang w:val="uk-UA" w:eastAsia="uk-UA"/>
              </w:rPr>
              <w:t xml:space="preserve">Можливість налаштувати </w:t>
            </w:r>
            <w:r>
              <w:rPr>
                <w:sz w:val="24"/>
                <w:szCs w:val="24"/>
                <w:lang w:val="uk-UA" w:eastAsia="uk-UA"/>
              </w:rPr>
              <w:t xml:space="preserve">хост</w:t>
            </w:r>
            <w:r>
              <w:rPr>
                <w:sz w:val="24"/>
                <w:szCs w:val="24"/>
                <w:lang w:val="uk-UA" w:eastAsia="uk-UA"/>
              </w:rPr>
              <w:t xml:space="preserve">-порти наступним чином: не менше 4 портів 10/25Gb </w:t>
            </w:r>
            <w:r>
              <w:rPr>
                <w:sz w:val="24"/>
                <w:szCs w:val="24"/>
                <w:lang w:val="uk-UA" w:eastAsia="uk-UA"/>
              </w:rPr>
              <w:t xml:space="preserve">Ethernet</w:t>
            </w:r>
            <w:r>
              <w:rPr>
                <w:sz w:val="24"/>
                <w:szCs w:val="24"/>
                <w:lang w:val="uk-UA" w:eastAsia="uk-UA"/>
              </w:rPr>
              <w:t xml:space="preserve">, не менше 4 портів 16/32Gb </w:t>
            </w:r>
            <w:r>
              <w:rPr>
                <w:sz w:val="24"/>
                <w:szCs w:val="24"/>
                <w:lang w:val="uk-UA" w:eastAsia="uk-UA"/>
              </w:rPr>
              <w:t xml:space="preserve">Fibre</w:t>
            </w:r>
            <w:r>
              <w:rPr>
                <w:sz w:val="24"/>
                <w:szCs w:val="24"/>
                <w:lang w:val="uk-UA" w:eastAsia="uk-UA"/>
              </w:rPr>
              <w:t xml:space="preserve"> </w:t>
            </w:r>
            <w:r>
              <w:rPr>
                <w:sz w:val="24"/>
                <w:szCs w:val="24"/>
                <w:lang w:val="uk-UA" w:eastAsia="uk-UA"/>
              </w:rPr>
              <w:t xml:space="preserve">Channel</w:t>
            </w:r>
            <w:r>
              <w:rPr>
                <w:sz w:val="24"/>
                <w:szCs w:val="24"/>
                <w:lang w:val="uk-UA" w:eastAsia="uk-UA"/>
              </w:rPr>
              <w:t xml:space="preserve">.</w:t>
            </w:r>
            <w:r/>
          </w:p>
          <w:p>
            <w:pPr>
              <w:pStyle w:val="781"/>
              <w:numPr>
                <w:ilvl w:val="0"/>
                <w:numId w:val="45"/>
              </w:numPr>
              <w:ind w:left="426" w:hanging="284"/>
              <w:spacing w:after="0"/>
              <w:rPr>
                <w:sz w:val="24"/>
                <w:szCs w:val="24"/>
                <w:lang w:val="uk-UA" w:eastAsia="uk-UA"/>
              </w:rPr>
            </w:pPr>
            <w:r>
              <w:rPr>
                <w:sz w:val="24"/>
                <w:szCs w:val="24"/>
                <w:lang w:val="uk-UA" w:eastAsia="uk-UA"/>
              </w:rPr>
              <w:t xml:space="preserve">Запропонована конфігурація повинна включати: 4 одиниці оптичних трансиверів </w:t>
            </w:r>
            <w:r>
              <w:rPr>
                <w:sz w:val="24"/>
                <w:szCs w:val="24"/>
                <w:lang w:val="uk-UA" w:eastAsia="uk-UA"/>
              </w:rPr>
              <w:t xml:space="preserve">Ethernet</w:t>
            </w:r>
            <w:r>
              <w:rPr>
                <w:sz w:val="24"/>
                <w:szCs w:val="24"/>
                <w:lang w:val="uk-UA" w:eastAsia="uk-UA"/>
              </w:rPr>
              <w:t xml:space="preserve"> 10/25Gb SFP28 і не менше 4 оптичних кабелів типу LC-LC OM4 довжиною не менше 2м.</w:t>
            </w:r>
            <w:r/>
          </w:p>
          <w:p>
            <w:pPr>
              <w:pStyle w:val="781"/>
              <w:numPr>
                <w:ilvl w:val="0"/>
                <w:numId w:val="45"/>
              </w:numPr>
              <w:ind w:left="426" w:hanging="284"/>
              <w:spacing w:after="0"/>
              <w:rPr>
                <w:sz w:val="24"/>
                <w:szCs w:val="24"/>
                <w:lang w:val="uk-UA" w:eastAsia="uk-UA"/>
              </w:rPr>
            </w:pPr>
            <w:r>
              <w:rPr>
                <w:sz w:val="24"/>
                <w:szCs w:val="24"/>
                <w:lang w:val="uk-UA" w:eastAsia="uk-UA"/>
              </w:rPr>
              <w:t xml:space="preserve">Система повинна підтримувати типи накопичувачів: HDD зі швидкістю 7200 та 10000 об/хв, SSD-</w:t>
            </w:r>
            <w:r>
              <w:rPr>
                <w:sz w:val="24"/>
                <w:szCs w:val="24"/>
                <w:lang w:val="uk-UA" w:eastAsia="uk-UA"/>
              </w:rPr>
              <w:t xml:space="preserve">Flash</w:t>
            </w:r>
            <w:r>
              <w:rPr>
                <w:sz w:val="24"/>
                <w:szCs w:val="24"/>
                <w:lang w:val="uk-UA" w:eastAsia="uk-UA"/>
              </w:rPr>
              <w:t xml:space="preserve"> накопичувачі.</w:t>
            </w:r>
            <w:r/>
          </w:p>
          <w:p>
            <w:pPr>
              <w:pStyle w:val="781"/>
              <w:numPr>
                <w:ilvl w:val="0"/>
                <w:numId w:val="45"/>
              </w:numPr>
              <w:ind w:left="426" w:hanging="284"/>
              <w:spacing w:after="0"/>
              <w:rPr>
                <w:sz w:val="24"/>
                <w:szCs w:val="24"/>
                <w:lang w:val="uk-UA" w:eastAsia="uk-UA"/>
              </w:rPr>
            </w:pPr>
            <w:r>
              <w:rPr>
                <w:sz w:val="24"/>
                <w:szCs w:val="24"/>
                <w:lang w:val="uk-UA" w:eastAsia="uk-UA"/>
              </w:rPr>
              <w:t xml:space="preserve">Система зберігання має підтримувати можливість розширення не менше ніж до 10 контролерів, щоб кожен том із блоковим доступом (за допомогою протоколів передачі даних </w:t>
            </w:r>
            <w:r>
              <w:rPr>
                <w:sz w:val="24"/>
                <w:szCs w:val="24"/>
                <w:lang w:val="uk-UA" w:eastAsia="uk-UA"/>
              </w:rPr>
              <w:t xml:space="preserve">Fibre</w:t>
            </w:r>
            <w:r>
              <w:rPr>
                <w:sz w:val="24"/>
                <w:szCs w:val="24"/>
                <w:lang w:val="uk-UA" w:eastAsia="uk-UA"/>
              </w:rPr>
              <w:t xml:space="preserve"> </w:t>
            </w:r>
            <w:r>
              <w:rPr>
                <w:sz w:val="24"/>
                <w:szCs w:val="24"/>
                <w:lang w:val="uk-UA" w:eastAsia="uk-UA"/>
              </w:rPr>
              <w:t xml:space="preserve">Channel</w:t>
            </w:r>
            <w:r>
              <w:rPr>
                <w:sz w:val="24"/>
                <w:szCs w:val="24"/>
                <w:lang w:val="uk-UA" w:eastAsia="uk-UA"/>
              </w:rPr>
              <w:t xml:space="preserve"> та </w:t>
            </w:r>
            <w:r>
              <w:rPr>
                <w:sz w:val="24"/>
                <w:szCs w:val="24"/>
                <w:lang w:val="uk-UA" w:eastAsia="uk-UA"/>
              </w:rPr>
              <w:t xml:space="preserve">iSCSI</w:t>
            </w:r>
            <w:r>
              <w:rPr>
                <w:sz w:val="24"/>
                <w:szCs w:val="24"/>
                <w:lang w:val="uk-UA" w:eastAsia="uk-UA"/>
              </w:rPr>
              <w:t xml:space="preserve">) підтримував стиснення даних у режимі реального часу та використовував ресурси всіх контролерів кластера, такі як пам’ять, процесори.</w:t>
            </w:r>
            <w:r/>
          </w:p>
          <w:p>
            <w:pPr>
              <w:pStyle w:val="781"/>
              <w:numPr>
                <w:ilvl w:val="0"/>
                <w:numId w:val="45"/>
              </w:numPr>
              <w:ind w:left="426" w:hanging="284"/>
              <w:spacing w:after="0"/>
              <w:rPr>
                <w:sz w:val="24"/>
                <w:szCs w:val="24"/>
                <w:lang w:val="uk-UA" w:eastAsia="uk-UA"/>
              </w:rPr>
            </w:pPr>
            <w:r>
              <w:rPr>
                <w:sz w:val="24"/>
                <w:szCs w:val="24"/>
                <w:lang w:val="uk-UA" w:eastAsia="uk-UA"/>
              </w:rPr>
              <w:t xml:space="preserve">Система зберігання повинна підтримувати шифрування даних засобами контролера, без використання дисків типу SED.</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2.3</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Спільний дисковий простір:</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before="60" w:after="0"/>
              <w:rPr>
                <w:sz w:val="24"/>
                <w:szCs w:val="24"/>
                <w:lang w:val="uk-UA" w:eastAsia="uk-UA"/>
              </w:rPr>
            </w:pPr>
            <w:r>
              <w:rPr>
                <w:sz w:val="24"/>
                <w:szCs w:val="24"/>
                <w:lang w:val="uk-UA" w:eastAsia="uk-UA"/>
              </w:rPr>
              <w:t xml:space="preserve">Не менше 12 одиниць накопичувачів ємністю не менше 10 ТБ кожен.</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2.4</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Функціональність:</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after="0"/>
              <w:rPr>
                <w:sz w:val="24"/>
                <w:szCs w:val="24"/>
                <w:lang w:val="uk-UA" w:eastAsia="uk-UA"/>
              </w:rPr>
            </w:pPr>
            <w:r>
              <w:rPr>
                <w:sz w:val="24"/>
                <w:szCs w:val="24"/>
                <w:lang w:val="uk-UA" w:eastAsia="uk-UA"/>
              </w:rPr>
              <w:t xml:space="preserve">Наявність функціональності тонкого виділення ресурсів (</w:t>
            </w:r>
            <w:r>
              <w:rPr>
                <w:sz w:val="24"/>
                <w:szCs w:val="24"/>
                <w:lang w:val="uk-UA" w:eastAsia="uk-UA"/>
              </w:rPr>
              <w:t xml:space="preserve">Thin</w:t>
            </w:r>
            <w:r>
              <w:rPr>
                <w:sz w:val="24"/>
                <w:szCs w:val="24"/>
                <w:lang w:val="uk-UA" w:eastAsia="uk-UA"/>
              </w:rPr>
              <w:t xml:space="preserve"> </w:t>
            </w:r>
            <w:r>
              <w:rPr>
                <w:sz w:val="24"/>
                <w:szCs w:val="24"/>
                <w:lang w:val="uk-UA" w:eastAsia="uk-UA"/>
              </w:rPr>
              <w:t xml:space="preserve">provisioning</w:t>
            </w:r>
            <w:r>
              <w:rPr>
                <w:sz w:val="24"/>
                <w:szCs w:val="24"/>
                <w:lang w:val="uk-UA" w:eastAsia="uk-UA"/>
              </w:rPr>
              <w:t xml:space="preserve">).</w:t>
            </w:r>
            <w:r/>
          </w:p>
          <w:p>
            <w:pPr>
              <w:pStyle w:val="781"/>
              <w:numPr>
                <w:ilvl w:val="0"/>
                <w:numId w:val="45"/>
              </w:numPr>
              <w:ind w:left="426" w:hanging="284"/>
              <w:spacing w:after="0"/>
              <w:rPr>
                <w:sz w:val="24"/>
                <w:szCs w:val="24"/>
                <w:lang w:val="uk-UA" w:eastAsia="uk-UA"/>
              </w:rPr>
            </w:pPr>
            <w:r>
              <w:rPr>
                <w:sz w:val="24"/>
                <w:szCs w:val="24"/>
                <w:lang w:val="uk-UA" w:eastAsia="uk-UA"/>
              </w:rPr>
              <w:t xml:space="preserve">Підтримка не менше 1000 миттєвих знімків (</w:t>
            </w:r>
            <w:r>
              <w:rPr>
                <w:sz w:val="24"/>
                <w:szCs w:val="24"/>
                <w:lang w:val="uk-UA" w:eastAsia="uk-UA"/>
              </w:rPr>
              <w:t xml:space="preserve">Snapshots</w:t>
            </w:r>
            <w:r>
              <w:rPr>
                <w:sz w:val="24"/>
                <w:szCs w:val="24"/>
                <w:lang w:val="uk-UA" w:eastAsia="uk-UA"/>
              </w:rPr>
              <w:t xml:space="preserve">) на дисковий том.</w:t>
            </w:r>
            <w:r/>
          </w:p>
          <w:p>
            <w:pPr>
              <w:pStyle w:val="781"/>
              <w:numPr>
                <w:ilvl w:val="0"/>
                <w:numId w:val="45"/>
              </w:numPr>
              <w:ind w:left="426" w:hanging="284"/>
              <w:spacing w:after="0"/>
              <w:rPr>
                <w:sz w:val="24"/>
                <w:szCs w:val="24"/>
                <w:lang w:val="uk-UA" w:eastAsia="uk-UA"/>
              </w:rPr>
            </w:pPr>
            <w:r>
              <w:rPr>
                <w:sz w:val="24"/>
                <w:szCs w:val="24"/>
                <w:lang w:val="uk-UA" w:eastAsia="uk-UA"/>
              </w:rPr>
              <w:t xml:space="preserve">Підтримка копій (</w:t>
            </w:r>
            <w:r>
              <w:rPr>
                <w:sz w:val="24"/>
                <w:szCs w:val="24"/>
                <w:lang w:val="uk-UA" w:eastAsia="uk-UA"/>
              </w:rPr>
              <w:t xml:space="preserve">Clones</w:t>
            </w:r>
            <w:r>
              <w:rPr>
                <w:sz w:val="24"/>
                <w:szCs w:val="24"/>
                <w:lang w:val="uk-UA" w:eastAsia="uk-UA"/>
              </w:rPr>
              <w:t xml:space="preserve">) </w:t>
            </w:r>
            <w:r>
              <w:rPr>
                <w:sz w:val="24"/>
                <w:szCs w:val="24"/>
                <w:lang w:val="uk-UA" w:eastAsia="uk-UA"/>
              </w:rPr>
              <w:t xml:space="preserve">томов</w:t>
            </w:r>
            <w:r>
              <w:rPr>
                <w:sz w:val="24"/>
                <w:szCs w:val="24"/>
                <w:lang w:val="uk-UA" w:eastAsia="uk-UA"/>
              </w:rPr>
              <w:t xml:space="preserve">.</w:t>
            </w:r>
            <w:r/>
          </w:p>
          <w:p>
            <w:pPr>
              <w:pStyle w:val="781"/>
              <w:numPr>
                <w:ilvl w:val="0"/>
                <w:numId w:val="45"/>
              </w:numPr>
              <w:ind w:left="426" w:hanging="284"/>
              <w:spacing w:after="0"/>
              <w:rPr>
                <w:sz w:val="24"/>
                <w:szCs w:val="24"/>
                <w:lang w:val="uk-UA" w:eastAsia="uk-UA"/>
              </w:rPr>
            </w:pPr>
            <w:r>
              <w:rPr>
                <w:sz w:val="24"/>
                <w:szCs w:val="24"/>
                <w:lang w:val="uk-UA" w:eastAsia="uk-UA"/>
              </w:rPr>
              <w:t xml:space="preserve">Вбудована </w:t>
            </w:r>
            <w:r>
              <w:rPr>
                <w:sz w:val="24"/>
                <w:szCs w:val="24"/>
                <w:lang w:val="uk-UA" w:eastAsia="uk-UA"/>
              </w:rPr>
              <w:t xml:space="preserve">дедуплікація</w:t>
            </w:r>
            <w:r>
              <w:rPr>
                <w:sz w:val="24"/>
                <w:szCs w:val="24"/>
                <w:lang w:val="uk-UA" w:eastAsia="uk-UA"/>
              </w:rPr>
              <w:t xml:space="preserve"> даних.</w:t>
            </w:r>
            <w:r/>
          </w:p>
          <w:p>
            <w:pPr>
              <w:pStyle w:val="781"/>
              <w:numPr>
                <w:ilvl w:val="0"/>
                <w:numId w:val="45"/>
              </w:numPr>
              <w:ind w:left="426" w:hanging="284"/>
              <w:spacing w:after="0"/>
              <w:rPr>
                <w:sz w:val="24"/>
                <w:szCs w:val="24"/>
                <w:lang w:val="uk-UA" w:eastAsia="uk-UA"/>
              </w:rPr>
            </w:pPr>
            <w:r>
              <w:rPr>
                <w:sz w:val="24"/>
                <w:szCs w:val="24"/>
                <w:lang w:val="uk-UA" w:eastAsia="uk-UA"/>
              </w:rPr>
              <w:t xml:space="preserve">Вбудоване стиснення даних.</w:t>
            </w:r>
            <w:r/>
          </w:p>
          <w:p>
            <w:pPr>
              <w:pStyle w:val="781"/>
              <w:numPr>
                <w:ilvl w:val="0"/>
                <w:numId w:val="45"/>
              </w:numPr>
              <w:ind w:left="426" w:hanging="284"/>
              <w:spacing w:after="0"/>
              <w:rPr>
                <w:sz w:val="24"/>
                <w:szCs w:val="24"/>
                <w:lang w:val="uk-UA" w:eastAsia="uk-UA"/>
              </w:rPr>
            </w:pPr>
            <w:r>
              <w:rPr>
                <w:sz w:val="24"/>
                <w:szCs w:val="24"/>
                <w:lang w:val="uk-UA" w:eastAsia="uk-UA"/>
              </w:rPr>
              <w:t xml:space="preserve">Підтримка політики управління даними WORM (</w:t>
            </w:r>
            <w:r>
              <w:rPr>
                <w:sz w:val="24"/>
                <w:szCs w:val="24"/>
                <w:lang w:val="uk-UA" w:eastAsia="uk-UA"/>
              </w:rPr>
              <w:t xml:space="preserve">Write</w:t>
            </w:r>
            <w:r>
              <w:rPr>
                <w:sz w:val="24"/>
                <w:szCs w:val="24"/>
                <w:lang w:val="uk-UA" w:eastAsia="uk-UA"/>
              </w:rPr>
              <w:t xml:space="preserve"> </w:t>
            </w:r>
            <w:r>
              <w:rPr>
                <w:sz w:val="24"/>
                <w:szCs w:val="24"/>
                <w:lang w:val="uk-UA" w:eastAsia="uk-UA"/>
              </w:rPr>
              <w:t xml:space="preserve">once</w:t>
            </w:r>
            <w:r>
              <w:rPr>
                <w:sz w:val="24"/>
                <w:szCs w:val="24"/>
                <w:lang w:val="uk-UA" w:eastAsia="uk-UA"/>
              </w:rPr>
              <w:t xml:space="preserve"> </w:t>
            </w:r>
            <w:r>
              <w:rPr>
                <w:sz w:val="24"/>
                <w:szCs w:val="24"/>
                <w:lang w:val="uk-UA" w:eastAsia="uk-UA"/>
              </w:rPr>
              <w:t xml:space="preserve">read</w:t>
            </w:r>
            <w:r>
              <w:rPr>
                <w:sz w:val="24"/>
                <w:szCs w:val="24"/>
                <w:lang w:val="uk-UA" w:eastAsia="uk-UA"/>
              </w:rPr>
              <w:t xml:space="preserve"> </w:t>
            </w:r>
            <w:r>
              <w:rPr>
                <w:sz w:val="24"/>
                <w:szCs w:val="24"/>
                <w:lang w:val="uk-UA" w:eastAsia="uk-UA"/>
              </w:rPr>
              <w:t xml:space="preserve">many</w:t>
            </w:r>
            <w:r>
              <w:rPr>
                <w:sz w:val="24"/>
                <w:szCs w:val="24"/>
                <w:lang w:val="uk-UA" w:eastAsia="uk-UA"/>
              </w:rPr>
              <w:t xml:space="preserve">).</w:t>
            </w:r>
            <w:r/>
          </w:p>
          <w:p>
            <w:pPr>
              <w:pStyle w:val="781"/>
              <w:numPr>
                <w:ilvl w:val="0"/>
                <w:numId w:val="45"/>
              </w:numPr>
              <w:ind w:left="426" w:hanging="284"/>
              <w:spacing w:after="0"/>
              <w:rPr>
                <w:sz w:val="24"/>
                <w:szCs w:val="24"/>
                <w:lang w:val="uk-UA" w:eastAsia="uk-UA"/>
              </w:rPr>
            </w:pPr>
            <w:r>
              <w:rPr>
                <w:sz w:val="24"/>
                <w:szCs w:val="24"/>
                <w:lang w:val="uk-UA" w:eastAsia="uk-UA"/>
              </w:rPr>
              <w:t xml:space="preserve">Cистема</w:t>
            </w:r>
            <w:r>
              <w:rPr>
                <w:sz w:val="24"/>
                <w:szCs w:val="24"/>
                <w:lang w:val="uk-UA" w:eastAsia="uk-UA"/>
              </w:rPr>
              <w:t xml:space="preserve"> зберігання повинна підтримувати функціонал керування якості обслуговування (</w:t>
            </w:r>
            <w:r>
              <w:rPr>
                <w:sz w:val="24"/>
                <w:szCs w:val="24"/>
                <w:lang w:val="uk-UA" w:eastAsia="uk-UA"/>
              </w:rPr>
              <w:t xml:space="preserve">QoS</w:t>
            </w:r>
            <w:r>
              <w:rPr>
                <w:sz w:val="24"/>
                <w:szCs w:val="24"/>
                <w:lang w:val="uk-UA" w:eastAsia="uk-UA"/>
              </w:rPr>
              <w:t xml:space="preserve">) для керування IOPS та МБ/с для дискових томів (LUN).</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2.5</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Управління та моніторинг:</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after="0"/>
              <w:rPr>
                <w:sz w:val="24"/>
                <w:szCs w:val="24"/>
                <w:lang w:val="uk-UA" w:eastAsia="uk-UA"/>
              </w:rPr>
            </w:pPr>
            <w:r>
              <w:rPr>
                <w:sz w:val="24"/>
                <w:szCs w:val="24"/>
                <w:lang w:val="uk-UA" w:eastAsia="uk-UA"/>
              </w:rPr>
              <w:t xml:space="preserve">Вбудований графічний веб-інтерфейс, доступний через протокол HTTPS.</w:t>
            </w:r>
            <w:r/>
          </w:p>
          <w:p>
            <w:pPr>
              <w:pStyle w:val="781"/>
              <w:numPr>
                <w:ilvl w:val="0"/>
                <w:numId w:val="45"/>
              </w:numPr>
              <w:ind w:left="426" w:hanging="284"/>
              <w:spacing w:after="0"/>
              <w:rPr>
                <w:sz w:val="24"/>
                <w:szCs w:val="24"/>
                <w:lang w:val="uk-UA" w:eastAsia="uk-UA"/>
              </w:rPr>
            </w:pPr>
            <w:r>
              <w:rPr>
                <w:sz w:val="24"/>
                <w:szCs w:val="24"/>
                <w:lang w:val="uk-UA" w:eastAsia="uk-UA"/>
              </w:rPr>
              <w:t xml:space="preserve">Вбудований інтерфейс командного рядка (CLI) по протоколу SSH.</w:t>
            </w:r>
            <w:r/>
          </w:p>
          <w:p>
            <w:pPr>
              <w:pStyle w:val="781"/>
              <w:numPr>
                <w:ilvl w:val="0"/>
                <w:numId w:val="45"/>
              </w:numPr>
              <w:ind w:left="426" w:hanging="284"/>
              <w:spacing w:after="0"/>
              <w:rPr>
                <w:sz w:val="24"/>
                <w:szCs w:val="24"/>
                <w:lang w:val="uk-UA" w:eastAsia="uk-UA"/>
              </w:rPr>
            </w:pPr>
            <w:r>
              <w:rPr>
                <w:sz w:val="24"/>
                <w:szCs w:val="24"/>
                <w:lang w:val="uk-UA" w:eastAsia="uk-UA"/>
              </w:rPr>
              <w:t xml:space="preserve">Програмне забезпечення для керування має бути встановлено на системі зберігання.</w:t>
            </w:r>
            <w:r/>
          </w:p>
          <w:p>
            <w:pPr>
              <w:pStyle w:val="781"/>
              <w:numPr>
                <w:ilvl w:val="0"/>
                <w:numId w:val="45"/>
              </w:numPr>
              <w:ind w:left="426" w:hanging="284"/>
              <w:spacing w:after="0"/>
              <w:rPr>
                <w:sz w:val="24"/>
                <w:szCs w:val="24"/>
                <w:lang w:val="uk-UA" w:eastAsia="uk-UA"/>
              </w:rPr>
            </w:pPr>
            <w:r>
              <w:rPr>
                <w:sz w:val="24"/>
                <w:szCs w:val="24"/>
                <w:lang w:val="uk-UA" w:eastAsia="uk-UA"/>
              </w:rPr>
              <w:t xml:space="preserve">Функція автоматичної реєстрації для відкриття сервісних звернень в службу підтримки виробника.</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2.6</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Додаткові вимоги</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after="0"/>
              <w:rPr>
                <w:sz w:val="24"/>
                <w:szCs w:val="24"/>
                <w:lang w:val="uk-UA" w:eastAsia="uk-UA"/>
              </w:rPr>
            </w:pPr>
            <w:r>
              <w:rPr>
                <w:sz w:val="24"/>
                <w:szCs w:val="24"/>
                <w:lang w:val="uk-UA" w:eastAsia="uk-UA"/>
              </w:rPr>
              <w:t xml:space="preserve">Підтримка функціональності для SAN, так і для NAS.</w:t>
            </w:r>
            <w:r/>
          </w:p>
          <w:p>
            <w:pPr>
              <w:pStyle w:val="781"/>
              <w:numPr>
                <w:ilvl w:val="0"/>
                <w:numId w:val="45"/>
              </w:numPr>
              <w:ind w:left="426" w:hanging="284"/>
              <w:spacing w:after="0"/>
              <w:rPr>
                <w:sz w:val="24"/>
                <w:szCs w:val="24"/>
                <w:lang w:val="uk-UA" w:eastAsia="uk-UA"/>
              </w:rPr>
            </w:pPr>
            <w:r>
              <w:rPr>
                <w:sz w:val="24"/>
                <w:szCs w:val="24"/>
                <w:lang w:val="uk-UA" w:eastAsia="uk-UA"/>
              </w:rPr>
              <w:t xml:space="preserve">Система повинна підтримувати ввімкнення та вимкнення </w:t>
            </w:r>
            <w:r>
              <w:rPr>
                <w:sz w:val="24"/>
                <w:szCs w:val="24"/>
                <w:lang w:val="uk-UA" w:eastAsia="uk-UA"/>
              </w:rPr>
              <w:t xml:space="preserve">дедуплікації</w:t>
            </w:r>
            <w:r>
              <w:rPr>
                <w:sz w:val="24"/>
                <w:szCs w:val="24"/>
                <w:lang w:val="uk-UA" w:eastAsia="uk-UA"/>
              </w:rPr>
              <w:t xml:space="preserve"> та стиснення на рівні окремих томів.</w:t>
            </w:r>
            <w:r/>
          </w:p>
          <w:p>
            <w:pPr>
              <w:pStyle w:val="781"/>
              <w:numPr>
                <w:ilvl w:val="0"/>
                <w:numId w:val="45"/>
              </w:numPr>
              <w:ind w:left="426" w:hanging="284"/>
              <w:spacing w:after="0"/>
              <w:rPr>
                <w:sz w:val="24"/>
                <w:szCs w:val="24"/>
                <w:lang w:val="uk-UA" w:eastAsia="uk-UA"/>
              </w:rPr>
            </w:pPr>
            <w:r>
              <w:rPr>
                <w:sz w:val="24"/>
                <w:szCs w:val="24"/>
                <w:lang w:val="uk-UA" w:eastAsia="uk-UA"/>
              </w:rPr>
              <w:t xml:space="preserve">Вбудований менеджер ключів (</w:t>
            </w:r>
            <w:r>
              <w:rPr>
                <w:sz w:val="24"/>
                <w:szCs w:val="24"/>
                <w:lang w:val="uk-UA" w:eastAsia="uk-UA"/>
              </w:rPr>
              <w:t xml:space="preserve">key</w:t>
            </w:r>
            <w:r>
              <w:rPr>
                <w:sz w:val="24"/>
                <w:szCs w:val="24"/>
                <w:lang w:val="uk-UA" w:eastAsia="uk-UA"/>
              </w:rPr>
              <w:t xml:space="preserve"> </w:t>
            </w:r>
            <w:r>
              <w:rPr>
                <w:sz w:val="24"/>
                <w:szCs w:val="24"/>
                <w:lang w:val="uk-UA" w:eastAsia="uk-UA"/>
              </w:rPr>
              <w:t xml:space="preserve">management</w:t>
            </w:r>
            <w:r>
              <w:rPr>
                <w:sz w:val="24"/>
                <w:szCs w:val="24"/>
                <w:lang w:val="uk-UA" w:eastAsia="uk-UA"/>
              </w:rPr>
              <w:t xml:space="preserve">).</w:t>
            </w:r>
            <w:r/>
          </w:p>
          <w:p>
            <w:pPr>
              <w:pStyle w:val="781"/>
              <w:numPr>
                <w:ilvl w:val="0"/>
                <w:numId w:val="45"/>
              </w:numPr>
              <w:ind w:left="426" w:hanging="284"/>
              <w:spacing w:after="0"/>
              <w:rPr>
                <w:sz w:val="24"/>
                <w:szCs w:val="24"/>
                <w:lang w:val="uk-UA" w:eastAsia="uk-UA"/>
              </w:rPr>
            </w:pPr>
            <w:r>
              <w:rPr>
                <w:sz w:val="24"/>
                <w:szCs w:val="24"/>
                <w:lang w:val="uk-UA" w:eastAsia="uk-UA"/>
              </w:rPr>
              <w:t xml:space="preserve">Підтримка зовнішнього сервера KMIP.</w:t>
            </w:r>
            <w:r/>
          </w:p>
          <w:p>
            <w:pPr>
              <w:pStyle w:val="781"/>
              <w:numPr>
                <w:ilvl w:val="0"/>
                <w:numId w:val="45"/>
              </w:numPr>
              <w:ind w:left="426" w:hanging="284"/>
              <w:spacing w:after="0"/>
              <w:rPr>
                <w:sz w:val="24"/>
                <w:szCs w:val="24"/>
                <w:lang w:val="uk-UA" w:eastAsia="uk-UA"/>
              </w:rPr>
            </w:pPr>
            <w:r>
              <w:rPr>
                <w:sz w:val="24"/>
                <w:szCs w:val="24"/>
                <w:lang w:val="uk-UA" w:eastAsia="uk-UA"/>
              </w:rPr>
              <w:t xml:space="preserve">Підтримка протоколів: FC, </w:t>
            </w:r>
            <w:r>
              <w:rPr>
                <w:sz w:val="24"/>
                <w:szCs w:val="24"/>
                <w:lang w:val="uk-UA" w:eastAsia="uk-UA"/>
              </w:rPr>
              <w:t xml:space="preserve">FCoE</w:t>
            </w:r>
            <w:r>
              <w:rPr>
                <w:sz w:val="24"/>
                <w:szCs w:val="24"/>
                <w:lang w:val="uk-UA" w:eastAsia="uk-UA"/>
              </w:rPr>
              <w:t xml:space="preserve"> , </w:t>
            </w:r>
            <w:r>
              <w:rPr>
                <w:sz w:val="24"/>
                <w:szCs w:val="24"/>
                <w:lang w:val="uk-UA" w:eastAsia="uk-UA"/>
              </w:rPr>
              <w:t xml:space="preserve">iSCSI</w:t>
            </w:r>
            <w:r>
              <w:rPr>
                <w:sz w:val="24"/>
                <w:szCs w:val="24"/>
                <w:lang w:val="uk-UA" w:eastAsia="uk-UA"/>
              </w:rPr>
              <w:t xml:space="preserve">, NFS, CIFS/SMB, </w:t>
            </w:r>
            <w:r>
              <w:rPr>
                <w:sz w:val="24"/>
                <w:szCs w:val="24"/>
                <w:lang w:val="uk-UA" w:eastAsia="uk-UA"/>
              </w:rPr>
              <w:t xml:space="preserve">NVMe</w:t>
            </w:r>
            <w:r>
              <w:rPr>
                <w:sz w:val="24"/>
                <w:szCs w:val="24"/>
                <w:lang w:val="uk-UA" w:eastAsia="uk-UA"/>
              </w:rPr>
              <w:t xml:space="preserve"> </w:t>
            </w:r>
            <w:r>
              <w:rPr>
                <w:sz w:val="24"/>
                <w:szCs w:val="24"/>
                <w:lang w:val="uk-UA" w:eastAsia="uk-UA"/>
              </w:rPr>
              <w:t xml:space="preserve">over</w:t>
            </w:r>
            <w:r>
              <w:rPr>
                <w:sz w:val="24"/>
                <w:szCs w:val="24"/>
                <w:lang w:val="uk-UA" w:eastAsia="uk-UA"/>
              </w:rPr>
              <w:t xml:space="preserve"> TCP (</w:t>
            </w:r>
            <w:r>
              <w:rPr>
                <w:sz w:val="24"/>
                <w:szCs w:val="24"/>
                <w:lang w:val="uk-UA" w:eastAsia="uk-UA"/>
              </w:rPr>
              <w:t xml:space="preserve">NVMe</w:t>
            </w:r>
            <w:r>
              <w:rPr>
                <w:sz w:val="24"/>
                <w:szCs w:val="24"/>
                <w:lang w:val="uk-UA" w:eastAsia="uk-UA"/>
              </w:rPr>
              <w:t xml:space="preserve">/TCP), S3 </w:t>
            </w:r>
            <w:r>
              <w:rPr>
                <w:sz w:val="24"/>
                <w:szCs w:val="24"/>
                <w:lang w:val="uk-UA" w:eastAsia="uk-UA"/>
              </w:rPr>
              <w:t xml:space="preserve">protocol</w:t>
            </w:r>
            <w:r>
              <w:rPr>
                <w:sz w:val="24"/>
                <w:szCs w:val="24"/>
                <w:lang w:val="uk-UA" w:eastAsia="uk-UA"/>
              </w:rPr>
              <w:t xml:space="preserve">.</w:t>
            </w:r>
            <w:r/>
          </w:p>
          <w:p>
            <w:pPr>
              <w:pStyle w:val="781"/>
              <w:numPr>
                <w:ilvl w:val="0"/>
                <w:numId w:val="45"/>
              </w:numPr>
              <w:ind w:left="426" w:hanging="284"/>
              <w:spacing w:after="0"/>
              <w:rPr>
                <w:sz w:val="24"/>
                <w:szCs w:val="24"/>
                <w:lang w:val="uk-UA" w:eastAsia="uk-UA"/>
              </w:rPr>
            </w:pPr>
            <w:r>
              <w:rPr>
                <w:sz w:val="24"/>
                <w:szCs w:val="24"/>
                <w:lang w:val="uk-UA" w:eastAsia="uk-UA"/>
              </w:rPr>
              <w:t xml:space="preserve">Система зберігання повинна мати технології оптимізації даних, такі як вбудована </w:t>
            </w:r>
            <w:r>
              <w:rPr>
                <w:sz w:val="24"/>
                <w:szCs w:val="24"/>
                <w:lang w:val="uk-UA" w:eastAsia="uk-UA"/>
              </w:rPr>
              <w:t xml:space="preserve">дедуплікація</w:t>
            </w:r>
            <w:r>
              <w:rPr>
                <w:sz w:val="24"/>
                <w:szCs w:val="24"/>
                <w:lang w:val="uk-UA" w:eastAsia="uk-UA"/>
              </w:rPr>
              <w:t xml:space="preserve">, стиснення, тонке виділення ресурсів.</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2.7</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Відмовостійкість</w:t>
            </w:r>
            <w:r>
              <w:rPr>
                <w:rFonts w:ascii="Times New Roman" w:hAnsi="Times New Roman" w:cs="Times New Roman"/>
                <w:bCs/>
                <w:sz w:val="24"/>
                <w:szCs w:val="24"/>
              </w:rPr>
              <w:t xml:space="preserve">:</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after="0"/>
              <w:rPr>
                <w:sz w:val="24"/>
                <w:szCs w:val="24"/>
                <w:lang w:val="uk-UA" w:eastAsia="uk-UA"/>
              </w:rPr>
            </w:pPr>
            <w:r>
              <w:rPr>
                <w:sz w:val="24"/>
                <w:szCs w:val="24"/>
                <w:lang w:val="uk-UA" w:eastAsia="uk-UA"/>
              </w:rPr>
              <w:t xml:space="preserve">Необхідно забезпечити резервування для:</w:t>
            </w:r>
            <w:r/>
          </w:p>
          <w:p>
            <w:pPr>
              <w:ind w:left="437" w:hanging="360"/>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 Контролерів</w:t>
            </w:r>
            <w:r/>
          </w:p>
          <w:p>
            <w:pPr>
              <w:ind w:left="437" w:hanging="360"/>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 Порти підключення дисків (</w:t>
            </w:r>
            <w:r>
              <w:rPr>
                <w:rFonts w:ascii="Times New Roman" w:hAnsi="Times New Roman" w:cs="Times New Roman"/>
                <w:sz w:val="24"/>
                <w:szCs w:val="24"/>
              </w:rPr>
              <w:t xml:space="preserve">Backend</w:t>
            </w:r>
            <w:r>
              <w:rPr>
                <w:rFonts w:ascii="Times New Roman" w:hAnsi="Times New Roman" w:cs="Times New Roman"/>
                <w:sz w:val="24"/>
                <w:szCs w:val="24"/>
              </w:rPr>
              <w:t xml:space="preserve"> </w:t>
            </w:r>
            <w:r>
              <w:rPr>
                <w:rFonts w:ascii="Times New Roman" w:hAnsi="Times New Roman" w:cs="Times New Roman"/>
                <w:sz w:val="24"/>
                <w:szCs w:val="24"/>
              </w:rPr>
              <w:t xml:space="preserve">ports</w:t>
            </w:r>
            <w:r>
              <w:rPr>
                <w:rFonts w:ascii="Times New Roman" w:hAnsi="Times New Roman" w:cs="Times New Roman"/>
                <w:sz w:val="24"/>
                <w:szCs w:val="24"/>
              </w:rPr>
              <w:t xml:space="preserve">)</w:t>
            </w:r>
            <w:r/>
          </w:p>
          <w:p>
            <w:pPr>
              <w:ind w:left="437" w:hanging="360"/>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 Порти підключення до сервера (</w:t>
            </w:r>
            <w:r>
              <w:rPr>
                <w:rFonts w:ascii="Times New Roman" w:hAnsi="Times New Roman" w:cs="Times New Roman"/>
                <w:sz w:val="24"/>
                <w:szCs w:val="24"/>
              </w:rPr>
              <w:t xml:space="preserve">Host</w:t>
            </w:r>
            <w:r>
              <w:rPr>
                <w:rFonts w:ascii="Times New Roman" w:hAnsi="Times New Roman" w:cs="Times New Roman"/>
                <w:sz w:val="24"/>
                <w:szCs w:val="24"/>
              </w:rPr>
              <w:t xml:space="preserve"> </w:t>
            </w:r>
            <w:r>
              <w:rPr>
                <w:rFonts w:ascii="Times New Roman" w:hAnsi="Times New Roman" w:cs="Times New Roman"/>
                <w:sz w:val="24"/>
                <w:szCs w:val="24"/>
              </w:rPr>
              <w:t xml:space="preserve">ports</w:t>
            </w:r>
            <w:r>
              <w:rPr>
                <w:rFonts w:ascii="Times New Roman" w:hAnsi="Times New Roman" w:cs="Times New Roman"/>
                <w:sz w:val="24"/>
                <w:szCs w:val="24"/>
              </w:rPr>
              <w:t xml:space="preserve">)</w:t>
            </w:r>
            <w:r/>
          </w:p>
          <w:p>
            <w:pPr>
              <w:ind w:left="437" w:hanging="360"/>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 Джерела живлення та вентилятори</w:t>
            </w:r>
            <w:r/>
          </w:p>
          <w:p>
            <w:pPr>
              <w:pStyle w:val="781"/>
              <w:numPr>
                <w:ilvl w:val="0"/>
                <w:numId w:val="45"/>
              </w:numPr>
              <w:ind w:left="426" w:hanging="284"/>
              <w:spacing w:after="0"/>
              <w:rPr>
                <w:sz w:val="24"/>
                <w:szCs w:val="24"/>
                <w:lang w:val="uk-UA" w:eastAsia="uk-UA"/>
              </w:rPr>
            </w:pPr>
            <w:r>
              <w:rPr>
                <w:sz w:val="24"/>
                <w:szCs w:val="24"/>
                <w:lang w:val="uk-UA" w:eastAsia="uk-UA"/>
              </w:rPr>
              <w:t xml:space="preserve">Оновлення </w:t>
            </w:r>
            <w:r>
              <w:rPr>
                <w:sz w:val="24"/>
                <w:szCs w:val="24"/>
                <w:lang w:val="uk-UA" w:eastAsia="uk-UA"/>
              </w:rPr>
              <w:t xml:space="preserve">мікрокоду</w:t>
            </w:r>
            <w:r>
              <w:rPr>
                <w:sz w:val="24"/>
                <w:szCs w:val="24"/>
                <w:lang w:val="uk-UA" w:eastAsia="uk-UA"/>
              </w:rPr>
              <w:t xml:space="preserve"> повинно проводитися без переривання операцій вводу/виводу.</w:t>
            </w:r>
            <w:r/>
          </w:p>
          <w:p>
            <w:pPr>
              <w:pStyle w:val="781"/>
              <w:numPr>
                <w:ilvl w:val="0"/>
                <w:numId w:val="45"/>
              </w:numPr>
              <w:ind w:left="426" w:hanging="284"/>
              <w:spacing w:after="0"/>
              <w:rPr>
                <w:sz w:val="24"/>
                <w:szCs w:val="24"/>
                <w:lang w:val="uk-UA" w:eastAsia="uk-UA"/>
              </w:rPr>
            </w:pPr>
            <w:r>
              <w:rPr>
                <w:sz w:val="24"/>
                <w:szCs w:val="24"/>
                <w:lang w:val="uk-UA" w:eastAsia="uk-UA"/>
              </w:rPr>
              <w:t xml:space="preserve">Додавання дискових полиць, окремих дисків має бути можливим без переривання операцій вводу/виводу.</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2.8</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Обладнання:</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after="0"/>
              <w:rPr>
                <w:sz w:val="24"/>
                <w:szCs w:val="24"/>
                <w:lang w:val="uk-UA" w:eastAsia="uk-UA"/>
              </w:rPr>
            </w:pPr>
            <w:r>
              <w:rPr>
                <w:sz w:val="24"/>
                <w:szCs w:val="24"/>
                <w:lang w:val="uk-UA" w:eastAsia="uk-UA"/>
              </w:rPr>
              <w:t xml:space="preserve">Система зберігання має бути забезпечена всіма необхідними кабелями для підключення обладнання в продуктивне середовище.</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2.9</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Розгортання рішення:</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before="60" w:after="0"/>
              <w:rPr>
                <w:sz w:val="24"/>
                <w:szCs w:val="24"/>
                <w:lang w:val="uk-UA" w:eastAsia="uk-UA"/>
              </w:rPr>
            </w:pPr>
            <w:r>
              <w:rPr>
                <w:sz w:val="24"/>
                <w:szCs w:val="24"/>
                <w:lang w:val="uk-UA" w:eastAsia="uk-UA"/>
              </w:rPr>
              <w:t xml:space="preserve">Виробником обладнання повинно бути реалізовано розгортання сховища резервних копій, та налаштування логічних томів на технічному майданчику Замовника. </w:t>
            </w: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2.10</w:t>
            </w:r>
            <w:r/>
          </w:p>
        </w:tc>
        <w:tc>
          <w:tcPr>
            <w:tcBorders>
              <w:top w:val="single" w:color="000000" w:sz="4" w:space="0"/>
              <w:left w:val="single" w:color="000000" w:sz="4" w:space="0"/>
              <w:bottom w:val="single" w:color="000000" w:sz="4" w:space="0"/>
              <w:right w:val="single" w:color="000000" w:sz="4" w:space="0"/>
            </w:tcBorders>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Гарантія:</w:t>
            </w:r>
            <w:r/>
          </w:p>
        </w:tc>
        <w:tc>
          <w:tcPr>
            <w:gridSpan w:val="5"/>
            <w:tcBorders>
              <w:top w:val="single" w:color="000000" w:sz="4" w:space="0"/>
              <w:left w:val="single" w:color="000000" w:sz="4" w:space="0"/>
              <w:bottom w:val="single" w:color="000000" w:sz="4" w:space="0"/>
              <w:right w:val="single" w:color="000000" w:sz="4" w:space="0"/>
            </w:tcBorders>
            <w:tcW w:w="7229" w:type="dxa"/>
            <w:vAlign w:val="center"/>
            <w:textDirection w:val="lrTb"/>
            <w:noWrap w:val="false"/>
          </w:tcPr>
          <w:p>
            <w:pPr>
              <w:pStyle w:val="781"/>
              <w:numPr>
                <w:ilvl w:val="0"/>
                <w:numId w:val="45"/>
              </w:numPr>
              <w:ind w:left="426" w:hanging="284"/>
              <w:spacing w:after="0"/>
              <w:rPr>
                <w:sz w:val="24"/>
                <w:szCs w:val="24"/>
                <w:lang w:val="uk-UA" w:eastAsia="uk-UA"/>
              </w:rPr>
            </w:pPr>
            <w:r>
              <w:rPr>
                <w:sz w:val="24"/>
                <w:szCs w:val="24"/>
                <w:lang w:val="uk-UA" w:eastAsia="uk-UA"/>
              </w:rPr>
              <w:t xml:space="preserve">Гарантійний термін: не менше 36 місяців.</w:t>
            </w:r>
            <w:r/>
          </w:p>
          <w:p>
            <w:pPr>
              <w:pStyle w:val="781"/>
              <w:numPr>
                <w:ilvl w:val="0"/>
                <w:numId w:val="45"/>
              </w:numPr>
              <w:ind w:left="426" w:hanging="284"/>
              <w:spacing w:after="0"/>
              <w:rPr>
                <w:sz w:val="24"/>
                <w:szCs w:val="24"/>
                <w:lang w:val="uk-UA" w:eastAsia="uk-UA"/>
              </w:rPr>
            </w:pPr>
            <w:r>
              <w:rPr>
                <w:sz w:val="24"/>
                <w:szCs w:val="24"/>
                <w:lang w:val="uk-UA" w:eastAsia="uk-UA"/>
              </w:rPr>
              <w:t xml:space="preserve">Доставка та заміна компонентів обладнання які вийшли з ладу - не пізніше наступного робочого дня за місцем інсталяції обладнання.</w:t>
            </w:r>
            <w:r/>
          </w:p>
          <w:p>
            <w:pPr>
              <w:pStyle w:val="781"/>
              <w:numPr>
                <w:ilvl w:val="0"/>
                <w:numId w:val="45"/>
              </w:numPr>
              <w:ind w:left="426" w:hanging="284"/>
              <w:spacing w:after="0"/>
              <w:rPr>
                <w:sz w:val="24"/>
                <w:szCs w:val="24"/>
                <w:lang w:val="uk-UA" w:eastAsia="uk-UA"/>
              </w:rPr>
            </w:pPr>
            <w:r>
              <w:rPr>
                <w:sz w:val="24"/>
                <w:szCs w:val="24"/>
                <w:lang w:val="uk-UA" w:eastAsia="uk-UA"/>
              </w:rPr>
              <w:t xml:space="preserve">Можливість зв'язку зі службою технічної підтримки виробника </w:t>
            </w:r>
            <w:r>
              <w:rPr>
                <w:sz w:val="24"/>
                <w:szCs w:val="24"/>
                <w:lang w:val="uk-UA" w:eastAsia="uk-UA"/>
              </w:rPr>
              <w:t xml:space="preserve">9х5.</w:t>
            </w:r>
            <w:r/>
          </w:p>
          <w:p>
            <w:pPr>
              <w:pStyle w:val="781"/>
              <w:numPr>
                <w:ilvl w:val="0"/>
                <w:numId w:val="45"/>
              </w:numPr>
              <w:ind w:left="426" w:hanging="284"/>
              <w:spacing w:after="0"/>
              <w:rPr>
                <w:sz w:val="24"/>
                <w:szCs w:val="24"/>
                <w:lang w:val="uk-UA" w:eastAsia="uk-UA"/>
              </w:rPr>
            </w:pPr>
            <w:r>
              <w:rPr>
                <w:sz w:val="24"/>
                <w:szCs w:val="24"/>
                <w:lang w:val="uk-UA" w:eastAsia="uk-UA"/>
              </w:rPr>
              <w:t xml:space="preserve">Доступ до оновлень програмного забезпечення надається протягом усього періоду підтримки.</w:t>
            </w:r>
            <w:r/>
          </w:p>
        </w:tc>
      </w:tr>
    </w:tbl>
    <w:p>
      <w:pPr>
        <w:ind w:left="-142"/>
        <w:jc w:val="both"/>
        <w:spacing w:after="0" w:line="240" w:lineRule="auto"/>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i/>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left="-142"/>
        <w:jc w:val="both"/>
        <w:spacing w:after="0" w:line="240" w:lineRule="auto"/>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r>
      <w:r/>
    </w:p>
    <w:p>
      <w:pPr>
        <w:ind w:firstLine="567"/>
        <w:jc w:val="both"/>
        <w:spacing w:after="0" w:line="240" w:lineRule="auto"/>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t xml:space="preserve">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r>
        <w:rPr>
          <w:rFonts w:ascii="Times New Roman" w:hAnsi="Times New Roman" w:cs="Times New Roman"/>
          <w:color w:val="000000"/>
          <w:sz w:val="24"/>
          <w:szCs w:val="24"/>
        </w:rPr>
        <w:tab/>
      </w:r>
      <w:r/>
    </w:p>
    <w:p>
      <w:pPr>
        <w:ind w:left="-142"/>
        <w:jc w:val="both"/>
        <w:spacing w:after="0" w:line="240" w:lineRule="auto"/>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r>
      <w:r/>
    </w:p>
    <w:p>
      <w:pPr>
        <w:jc w:val="both"/>
        <w:spacing w:after="0" w:line="240" w:lineRule="auto"/>
        <w:rPr>
          <w:rFonts w:ascii="Times New Roman" w:hAnsi="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sz w:val="24"/>
          <w:szCs w:val="24"/>
        </w:rPr>
      </w:r>
      <w:r/>
    </w:p>
    <w:p>
      <w:pPr>
        <w:pStyle w:val="779"/>
        <w:ind w:left="360" w:right="0"/>
        <w:jc w:val="both"/>
        <w:shd w:val="clear" w:color="auto" w:fill="auto"/>
        <w:widowControl w:val="off"/>
        <w:tabs>
          <w:tab w:val="left" w:pos="1276" w:leader="none"/>
          <w:tab w:val="left" w:pos="1418" w:leader="none"/>
        </w:tabs>
        <w:rPr>
          <w:sz w:val="24"/>
          <w:szCs w:val="24"/>
        </w:rPr>
      </w:pPr>
      <w:r>
        <w:rPr>
          <w:sz w:val="24"/>
          <w:szCs w:val="24"/>
        </w:rPr>
        <w:t xml:space="preserve">Вимоги до постачальника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Учаснику необхідно провести навчання технічних спеціалістів</w:t>
      </w:r>
      <w:r>
        <w:rPr>
          <w:rFonts w:ascii="Times New Roman" w:hAnsi="Times New Roman" w:cs="Times New Roman"/>
          <w:bCs/>
          <w:sz w:val="24"/>
          <w:szCs w:val="24"/>
        </w:rPr>
        <w:t xml:space="preserve"> Замовника по системі управління програмно-апаратного комплексу, включаючи моніторинг кластеру, ПЗ віртуалізації, системи збереження даних з подальшим отриманням сертифікатів про проходження тренінгів (не менше двох спеціалістів) (надати гарантійний лист).</w:t>
      </w:r>
      <w:r/>
    </w:p>
    <w:p>
      <w:pPr>
        <w:ind w:firstLine="709"/>
        <w:jc w:val="both"/>
        <w:spacing w:after="0" w:line="240" w:lineRule="auto"/>
        <w:shd w:val="clear" w:color="auto" w:fill="ffffff"/>
        <w:tabs>
          <w:tab w:val="left" w:pos="2621" w:leader="none"/>
        </w:tabs>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r/>
    </w:p>
    <w:p>
      <w:pPr>
        <w:ind w:right="10" w:firstLine="426"/>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Заповнена таблиця відповідності запропонованого Учасником Товару технічним та функціональним вимогам Замовника. Учасник п</w:t>
      </w:r>
      <w:r>
        <w:rPr>
          <w:rFonts w:ascii="Times New Roman" w:hAnsi="Times New Roman" w:cs="Times New Roman"/>
          <w:sz w:val="24"/>
          <w:szCs w:val="24"/>
        </w:rPr>
        <w:t xml:space="preserve">овинен вказати назву продукту, що пропонується до постачання та артикули виробника, для можливості перевірки Замовником відповідності продукту, що пропонується до постачання вимогам Тендерної документації (з вказанням посилань на офіційний сайт виробника).</w:t>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Авторизаційні</w:t>
      </w:r>
      <w:r>
        <w:rPr>
          <w:rFonts w:ascii="Times New Roman" w:hAnsi="Times New Roman" w:cs="Times New Roman"/>
          <w:sz w:val="24"/>
          <w:szCs w:val="24"/>
        </w:rPr>
        <w:t xml:space="preserve"> листи від компаній виробників програмної продукції та обладнання, які закуповуються або їх офіційних п</w:t>
      </w:r>
      <w:r>
        <w:rPr>
          <w:rFonts w:ascii="Times New Roman" w:hAnsi="Times New Roman" w:cs="Times New Roman"/>
          <w:sz w:val="24"/>
          <w:szCs w:val="24"/>
        </w:rPr>
        <w:t xml:space="preserve">редставництв в Україні, адресованих на ім‘я Замовника, із посиланням на дану процедуру закупівлі та зазначенням назви та адреси учасника, які підтверджують повноваження  учасника постачати програмну продукцію та обладнання, передбачені предметом закупівлі.</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42 806 000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сорок два мільйони вісімсот шість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w:t>
      </w:r>
      <w:r>
        <w:rPr>
          <w:rFonts w:ascii="Times New Roman" w:hAnsi="Times New Roman" w:eastAsia="Times New Roman" w:cs="Times New Roman"/>
          <w:sz w:val="24"/>
          <w:szCs w:val="24"/>
          <w:lang w:eastAsia="ru-RU"/>
        </w:rPr>
        <w:t xml:space="preserve">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935" w:hanging="360"/>
      </w:pPr>
      <w:rPr>
        <w:rFonts w:hint="default" w:ascii="Symbol" w:hAnsi="Symbol"/>
      </w:rPr>
    </w:lvl>
    <w:lvl w:ilvl="1">
      <w:start w:val="1"/>
      <w:numFmt w:val="bullet"/>
      <w:isLgl w:val="false"/>
      <w:suff w:val="tab"/>
      <w:lvlText w:val="o"/>
      <w:lvlJc w:val="left"/>
      <w:pPr>
        <w:ind w:left="1655" w:hanging="360"/>
      </w:pPr>
      <w:rPr>
        <w:rFonts w:hint="default" w:ascii="Courier New" w:hAnsi="Courier New" w:cs="Courier New"/>
      </w:rPr>
    </w:lvl>
    <w:lvl w:ilvl="2">
      <w:start w:val="1"/>
      <w:numFmt w:val="bullet"/>
      <w:isLgl w:val="false"/>
      <w:suff w:val="tab"/>
      <w:lvlText w:val=""/>
      <w:lvlJc w:val="left"/>
      <w:pPr>
        <w:ind w:left="2375" w:hanging="360"/>
      </w:pPr>
      <w:rPr>
        <w:rFonts w:hint="default" w:ascii="Wingdings" w:hAnsi="Wingdings"/>
      </w:rPr>
    </w:lvl>
    <w:lvl w:ilvl="3">
      <w:start w:val="1"/>
      <w:numFmt w:val="bullet"/>
      <w:isLgl w:val="false"/>
      <w:suff w:val="tab"/>
      <w:lvlText w:val=""/>
      <w:lvlJc w:val="left"/>
      <w:pPr>
        <w:ind w:left="3095" w:hanging="360"/>
      </w:pPr>
      <w:rPr>
        <w:rFonts w:hint="default" w:ascii="Symbol" w:hAnsi="Symbol"/>
      </w:rPr>
    </w:lvl>
    <w:lvl w:ilvl="4">
      <w:start w:val="1"/>
      <w:numFmt w:val="bullet"/>
      <w:isLgl w:val="false"/>
      <w:suff w:val="tab"/>
      <w:lvlText w:val="o"/>
      <w:lvlJc w:val="left"/>
      <w:pPr>
        <w:ind w:left="3815" w:hanging="360"/>
      </w:pPr>
      <w:rPr>
        <w:rFonts w:hint="default" w:ascii="Courier New" w:hAnsi="Courier New" w:cs="Courier New"/>
      </w:rPr>
    </w:lvl>
    <w:lvl w:ilvl="5">
      <w:start w:val="1"/>
      <w:numFmt w:val="bullet"/>
      <w:isLgl w:val="false"/>
      <w:suff w:val="tab"/>
      <w:lvlText w:val=""/>
      <w:lvlJc w:val="left"/>
      <w:pPr>
        <w:ind w:left="4535" w:hanging="360"/>
      </w:pPr>
      <w:rPr>
        <w:rFonts w:hint="default" w:ascii="Wingdings" w:hAnsi="Wingdings"/>
      </w:rPr>
    </w:lvl>
    <w:lvl w:ilvl="6">
      <w:start w:val="1"/>
      <w:numFmt w:val="bullet"/>
      <w:isLgl w:val="false"/>
      <w:suff w:val="tab"/>
      <w:lvlText w:val=""/>
      <w:lvlJc w:val="left"/>
      <w:pPr>
        <w:ind w:left="5255" w:hanging="360"/>
      </w:pPr>
      <w:rPr>
        <w:rFonts w:hint="default" w:ascii="Symbol" w:hAnsi="Symbol"/>
      </w:rPr>
    </w:lvl>
    <w:lvl w:ilvl="7">
      <w:start w:val="1"/>
      <w:numFmt w:val="bullet"/>
      <w:isLgl w:val="false"/>
      <w:suff w:val="tab"/>
      <w:lvlText w:val="o"/>
      <w:lvlJc w:val="left"/>
      <w:pPr>
        <w:ind w:left="5975" w:hanging="360"/>
      </w:pPr>
      <w:rPr>
        <w:rFonts w:hint="default" w:ascii="Courier New" w:hAnsi="Courier New" w:cs="Courier New"/>
      </w:rPr>
    </w:lvl>
    <w:lvl w:ilvl="8">
      <w:start w:val="1"/>
      <w:numFmt w:val="bullet"/>
      <w:isLgl w:val="false"/>
      <w:suff w:val="tab"/>
      <w:lvlText w:val=""/>
      <w:lvlJc w:val="left"/>
      <w:pPr>
        <w:ind w:left="6695"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bullet"/>
      <w:isLgl w:val="false"/>
      <w:suff w:val="tab"/>
      <w:lvlText w:val=""/>
      <w:lvlJc w:val="left"/>
      <w:pPr>
        <w:ind w:left="780" w:hanging="360"/>
      </w:pPr>
      <w:rPr>
        <w:rFonts w:hint="default" w:ascii="Symbol" w:hAnsi="Symbol"/>
      </w:rPr>
    </w:lvl>
    <w:lvl w:ilvl="1">
      <w:start w:val="1"/>
      <w:numFmt w:val="bullet"/>
      <w:isLgl w:val="false"/>
      <w:suff w:val="tab"/>
      <w:lvlText w:val="o"/>
      <w:lvlJc w:val="left"/>
      <w:pPr>
        <w:ind w:left="1500" w:hanging="360"/>
      </w:pPr>
      <w:rPr>
        <w:rFonts w:hint="default" w:ascii="Courier New" w:hAnsi="Courier New" w:cs="Courier New"/>
      </w:rPr>
    </w:lvl>
    <w:lvl w:ilvl="2">
      <w:start w:val="1"/>
      <w:numFmt w:val="bullet"/>
      <w:isLgl w:val="false"/>
      <w:suff w:val="tab"/>
      <w:lvlText w:val=""/>
      <w:lvlJc w:val="left"/>
      <w:pPr>
        <w:ind w:left="2220" w:hanging="360"/>
      </w:pPr>
      <w:rPr>
        <w:rFonts w:hint="default" w:ascii="Wingdings" w:hAnsi="Wingdings"/>
      </w:rPr>
    </w:lvl>
    <w:lvl w:ilvl="3">
      <w:start w:val="1"/>
      <w:numFmt w:val="bullet"/>
      <w:isLgl w:val="false"/>
      <w:suff w:val="tab"/>
      <w:lvlText w:val=""/>
      <w:lvlJc w:val="left"/>
      <w:pPr>
        <w:ind w:left="2940" w:hanging="360"/>
      </w:pPr>
      <w:rPr>
        <w:rFonts w:hint="default" w:ascii="Symbol" w:hAnsi="Symbol"/>
      </w:rPr>
    </w:lvl>
    <w:lvl w:ilvl="4">
      <w:start w:val="1"/>
      <w:numFmt w:val="bullet"/>
      <w:isLgl w:val="false"/>
      <w:suff w:val="tab"/>
      <w:lvlText w:val="o"/>
      <w:lvlJc w:val="left"/>
      <w:pPr>
        <w:ind w:left="3660" w:hanging="360"/>
      </w:pPr>
      <w:rPr>
        <w:rFonts w:hint="default" w:ascii="Courier New" w:hAnsi="Courier New" w:cs="Courier New"/>
      </w:rPr>
    </w:lvl>
    <w:lvl w:ilvl="5">
      <w:start w:val="1"/>
      <w:numFmt w:val="bullet"/>
      <w:isLgl w:val="false"/>
      <w:suff w:val="tab"/>
      <w:lvlText w:val=""/>
      <w:lvlJc w:val="left"/>
      <w:pPr>
        <w:ind w:left="4380" w:hanging="360"/>
      </w:pPr>
      <w:rPr>
        <w:rFonts w:hint="default" w:ascii="Wingdings" w:hAnsi="Wingdings"/>
      </w:rPr>
    </w:lvl>
    <w:lvl w:ilvl="6">
      <w:start w:val="1"/>
      <w:numFmt w:val="bullet"/>
      <w:isLgl w:val="false"/>
      <w:suff w:val="tab"/>
      <w:lvlText w:val=""/>
      <w:lvlJc w:val="left"/>
      <w:pPr>
        <w:ind w:left="5100" w:hanging="360"/>
      </w:pPr>
      <w:rPr>
        <w:rFonts w:hint="default" w:ascii="Symbol" w:hAnsi="Symbol"/>
      </w:rPr>
    </w:lvl>
    <w:lvl w:ilvl="7">
      <w:start w:val="1"/>
      <w:numFmt w:val="bullet"/>
      <w:isLgl w:val="false"/>
      <w:suff w:val="tab"/>
      <w:lvlText w:val="o"/>
      <w:lvlJc w:val="left"/>
      <w:pPr>
        <w:ind w:left="5820" w:hanging="360"/>
      </w:pPr>
      <w:rPr>
        <w:rFonts w:hint="default" w:ascii="Courier New" w:hAnsi="Courier New" w:cs="Courier New"/>
      </w:rPr>
    </w:lvl>
    <w:lvl w:ilvl="8">
      <w:start w:val="1"/>
      <w:numFmt w:val="bullet"/>
      <w:isLgl w:val="false"/>
      <w:suff w:val="tab"/>
      <w:lvlText w:val=""/>
      <w:lvlJc w:val="left"/>
      <w:pPr>
        <w:ind w:left="654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8">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6"/>
  </w:num>
  <w:num w:numId="2">
    <w:abstractNumId w:val="20"/>
  </w:num>
  <w:num w:numId="3">
    <w:abstractNumId w:val="9"/>
  </w:num>
  <w:num w:numId="4">
    <w:abstractNumId w:val="29"/>
  </w:num>
  <w:num w:numId="5">
    <w:abstractNumId w:val="8"/>
  </w:num>
  <w:num w:numId="6">
    <w:abstractNumId w:val="37"/>
  </w:num>
  <w:num w:numId="7">
    <w:abstractNumId w:val="12"/>
  </w:num>
  <w:num w:numId="8">
    <w:abstractNumId w:val="39"/>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8"/>
  </w:num>
  <w:num w:numId="17">
    <w:abstractNumId w:val="2"/>
  </w:num>
  <w:num w:numId="18">
    <w:abstractNumId w:val="43"/>
  </w:num>
  <w:num w:numId="19">
    <w:abstractNumId w:val="3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1"/>
  </w:num>
  <w:num w:numId="25">
    <w:abstractNumId w:val="23"/>
  </w:num>
  <w:num w:numId="26">
    <w:abstractNumId w:val="26"/>
  </w:num>
  <w:num w:numId="27">
    <w:abstractNumId w:val="33"/>
  </w:num>
  <w:num w:numId="28">
    <w:abstractNumId w:val="24"/>
  </w:num>
  <w:num w:numId="29">
    <w:abstractNumId w:val="34"/>
  </w:num>
  <w:num w:numId="30">
    <w:abstractNumId w:val="19"/>
  </w:num>
  <w:num w:numId="31">
    <w:abstractNumId w:val="4"/>
  </w:num>
  <w:num w:numId="32">
    <w:abstractNumId w:val="21"/>
  </w:num>
  <w:num w:numId="33">
    <w:abstractNumId w:val="18"/>
  </w:num>
  <w:num w:numId="34">
    <w:abstractNumId w:val="16"/>
  </w:num>
  <w:num w:numId="35">
    <w:abstractNumId w:val="41"/>
  </w:num>
  <w:num w:numId="36">
    <w:abstractNumId w:val="6"/>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
  </w:num>
  <w:num w:numId="43">
    <w:abstractNumId w:val="22"/>
  </w:num>
  <w:num w:numId="44">
    <w:abstractNumId w:val="3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character" w:styleId="34">
    <w:name w:val="Title Char"/>
    <w:basedOn w:val="737"/>
    <w:link w:val="779"/>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34"/>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79">
    <w:name w:val="Title"/>
    <w:basedOn w:val="733"/>
    <w:next w:val="733"/>
    <w:link w:val="780"/>
    <w:uiPriority w:val="10"/>
    <w:qFormat/>
    <w:pPr>
      <w:ind w:right="2834"/>
      <w:jc w:val="center"/>
      <w:spacing w:after="0" w:line="240" w:lineRule="auto"/>
      <w:shd w:val="clear" w:color="auto" w:fill="ffffff"/>
    </w:pPr>
    <w:rPr>
      <w:rFonts w:ascii="Times New Roman" w:hAnsi="Times New Roman" w:eastAsia="Times New Roman" w:cs="Times New Roman"/>
      <w:b/>
      <w:color w:val="000000"/>
      <w:sz w:val="28"/>
      <w:szCs w:val="28"/>
      <w:lang w:eastAsia="uk-UA"/>
    </w:rPr>
  </w:style>
  <w:style w:type="character" w:styleId="780" w:customStyle="1">
    <w:name w:val="Назва Знак"/>
    <w:basedOn w:val="737"/>
    <w:link w:val="779"/>
    <w:uiPriority w:val="10"/>
    <w:rPr>
      <w:rFonts w:ascii="Times New Roman" w:hAnsi="Times New Roman" w:eastAsia="Times New Roman" w:cs="Times New Roman"/>
      <w:b/>
      <w:color w:val="000000"/>
      <w:sz w:val="28"/>
      <w:szCs w:val="28"/>
      <w:shd w:val="clear" w:color="auto" w:fill="ffffff"/>
      <w:lang w:val="uk-UA" w:eastAsia="uk-UA"/>
    </w:rPr>
  </w:style>
  <w:style w:type="paragraph" w:styleId="781" w:customStyle="1">
    <w:name w:val="Normal Paragraph"/>
    <w:basedOn w:val="733"/>
    <w:link w:val="782"/>
    <w:pPr>
      <w:spacing w:after="120" w:line="240" w:lineRule="auto"/>
      <w:widowControl w:val="off"/>
    </w:pPr>
    <w:rPr>
      <w:rFonts w:ascii="Times New Roman" w:hAnsi="Times New Roman" w:eastAsia="Times New Roman" w:cs="Times New Roman"/>
      <w:szCs w:val="20"/>
      <w:lang w:val="uk"/>
    </w:rPr>
  </w:style>
  <w:style w:type="character" w:styleId="782" w:customStyle="1">
    <w:name w:val="Normal Paragraph Tegn"/>
    <w:link w:val="781"/>
    <w:rPr>
      <w:rFonts w:ascii="Times New Roman" w:hAnsi="Times New Roman" w:eastAsia="Times New Roman" w:cs="Times New Roman"/>
      <w:szCs w:val="20"/>
      <w:lang w:val="uk"/>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2024-09-06T08:56:04Z</dcterms:modified>
</cp:coreProperties>
</file>