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акумуляторного ручного бездротового </w:t>
      </w:r>
      <w:r>
        <w:rPr>
          <w:b w:val="0"/>
          <w:bCs w:val="0"/>
          <w:sz w:val="24"/>
          <w:szCs w:val="24"/>
        </w:rPr>
        <w:t xml:space="preserve">пилосмока</w:t>
      </w:r>
      <w:r>
        <w:rPr>
          <w:b w:val="0"/>
          <w:bCs w:val="0"/>
          <w:sz w:val="24"/>
          <w:szCs w:val="24"/>
        </w:rPr>
        <w:t xml:space="preserve"> за ДК 021:2015: 39710000-2 Електричні побутові прилади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011438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lang w:eastAsia="ru-RU"/>
        </w:rPr>
        <w:t xml:space="preserve">4. Обґрунтування технічних та якісних </w:t>
      </w:r>
      <w:r>
        <w:rPr>
          <w:sz w:val="24"/>
          <w:lang w:eastAsia="ru-RU"/>
        </w:rPr>
        <w:t xml:space="preserve">характеристик предмета закупівлі: </w:t>
      </w:r>
      <w:r>
        <w:rPr>
          <w:sz w:val="24"/>
          <w:lang w:eastAsia="ru-RU"/>
        </w:rPr>
        <w:t xml:space="preserve"> </w:t>
      </w:r>
      <w:bookmarkStart w:id="0" w:name="_Hlk133583335"/>
      <w:r>
        <w:rPr>
          <w:b w:val="0"/>
          <w:bCs w:val="0"/>
          <w:sz w:val="24"/>
          <w:szCs w:val="24"/>
        </w:rPr>
        <w:t xml:space="preserve">Закупівля акумуляторного ручного бездротового </w:t>
      </w:r>
      <w:r>
        <w:rPr>
          <w:b w:val="0"/>
          <w:bCs w:val="0"/>
          <w:sz w:val="24"/>
          <w:szCs w:val="24"/>
        </w:rPr>
        <w:t xml:space="preserve">пилосмока</w:t>
      </w:r>
      <w:r>
        <w:rPr>
          <w:b w:val="0"/>
          <w:bCs w:val="0"/>
          <w:sz w:val="24"/>
          <w:szCs w:val="24"/>
        </w:rPr>
        <w:t xml:space="preserve"> за ДК 021:2015: 39710000-2 Електричні побутові прилади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rPr>
                <w:b/>
                <w:bCs/>
              </w:rPr>
            </w:pPr>
            <w:r>
              <w:rPr>
                <w:rStyle w:val="733"/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741"/>
                <w:b/>
                <w:bCs/>
                <w:color w:val="000000"/>
                <w:shd w:val="clear" w:color="auto" w:fill="ffffff"/>
              </w:rPr>
              <w:t xml:space="preserve">Акумуляторний ручний бездротовий пилосмок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Пропозиція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країнською мовою, гарантійні талони,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(надати гарантійний лист)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4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Акумуляторний ручний бездротовий пилосмок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Тип – </w:t>
            </w:r>
            <w:r>
              <w:rPr>
                <w:shd w:val="clear" w:color="auto" w:fill="ffffff"/>
                <w:lang w:val="ru-RU" w:eastAsia="ru-RU"/>
              </w:rPr>
              <w:t xml:space="preserve">ручний</w:t>
            </w:r>
            <w:r>
              <w:rPr>
                <w:shd w:val="clear" w:color="auto" w:fill="ffffff"/>
                <w:lang w:val="ru-RU" w:eastAsia="ru-RU"/>
              </w:rPr>
              <w:t xml:space="preserve">, </w:t>
            </w:r>
            <w:r>
              <w:rPr>
                <w:shd w:val="clear" w:color="auto" w:fill="ffffff"/>
                <w:lang w:val="ru-RU" w:eastAsia="ru-RU"/>
              </w:rPr>
              <w:t xml:space="preserve">акумуляторний</w:t>
            </w:r>
            <w:r>
              <w:rPr>
                <w:shd w:val="clear" w:color="auto" w:fill="ffffff"/>
                <w:lang w:val="ru-RU" w:eastAsia="ru-RU"/>
              </w:rPr>
              <w:t xml:space="preserve">; </w:t>
            </w:r>
            <w:r/>
          </w:p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Максимальна </w:t>
            </w:r>
            <w:r>
              <w:rPr>
                <w:shd w:val="clear" w:color="auto" w:fill="ffffff"/>
                <w:lang w:val="ru-RU" w:eastAsia="ru-RU"/>
              </w:rPr>
              <w:t xml:space="preserve">потужність</w:t>
            </w:r>
            <w:r>
              <w:rPr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hd w:val="clear" w:color="auto" w:fill="ffffff"/>
                <w:lang w:val="ru-RU" w:eastAsia="ru-RU"/>
              </w:rPr>
              <w:t xml:space="preserve">всмоктування</w:t>
            </w:r>
            <w:r>
              <w:rPr>
                <w:shd w:val="clear" w:color="auto" w:fill="ffffff"/>
                <w:lang w:val="ru-RU" w:eastAsia="ru-RU"/>
              </w:rPr>
              <w:t xml:space="preserve"> – не </w:t>
            </w:r>
            <w:r>
              <w:rPr>
                <w:shd w:val="clear" w:color="auto" w:fill="ffffff"/>
                <w:lang w:val="ru-RU" w:eastAsia="ru-RU"/>
              </w:rPr>
              <w:t xml:space="preserve">менше</w:t>
            </w:r>
            <w:r>
              <w:rPr>
                <w:shd w:val="clear" w:color="auto" w:fill="ffffff"/>
                <w:lang w:val="ru-RU" w:eastAsia="ru-RU"/>
              </w:rPr>
              <w:t xml:space="preserve"> 151 </w:t>
            </w:r>
            <w:r>
              <w:rPr>
                <w:shd w:val="clear" w:color="auto" w:fill="ffffff"/>
                <w:lang w:val="ru-RU" w:eastAsia="ru-RU"/>
              </w:rPr>
              <w:t xml:space="preserve">аВт</w:t>
            </w:r>
            <w:r>
              <w:rPr>
                <w:shd w:val="clear" w:color="auto" w:fill="ffffff"/>
                <w:lang w:val="ru-RU" w:eastAsia="ru-RU"/>
              </w:rPr>
              <w:t xml:space="preserve">;</w:t>
            </w:r>
            <w:r/>
          </w:p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Час </w:t>
            </w:r>
            <w:r>
              <w:rPr>
                <w:shd w:val="clear" w:color="auto" w:fill="ffffff"/>
                <w:lang w:val="ru-RU" w:eastAsia="ru-RU"/>
              </w:rPr>
              <w:t xml:space="preserve">роботи</w:t>
            </w:r>
            <w:r>
              <w:rPr>
                <w:shd w:val="clear" w:color="auto" w:fill="ffffff"/>
                <w:lang w:val="ru-RU" w:eastAsia="ru-RU"/>
              </w:rPr>
              <w:t xml:space="preserve"> (в стандартному </w:t>
            </w:r>
            <w:r>
              <w:rPr>
                <w:shd w:val="clear" w:color="auto" w:fill="ffffff"/>
                <w:lang w:val="ru-RU" w:eastAsia="ru-RU"/>
              </w:rPr>
              <w:t xml:space="preserve">режимі</w:t>
            </w:r>
            <w:r>
              <w:rPr>
                <w:shd w:val="clear" w:color="auto" w:fill="ffffff"/>
                <w:lang w:val="ru-RU" w:eastAsia="ru-RU"/>
              </w:rPr>
              <w:t xml:space="preserve">) – не </w:t>
            </w:r>
            <w:r>
              <w:rPr>
                <w:shd w:val="clear" w:color="auto" w:fill="ffffff"/>
                <w:lang w:val="ru-RU" w:eastAsia="ru-RU"/>
              </w:rPr>
              <w:t xml:space="preserve">менше</w:t>
            </w:r>
            <w:r>
              <w:rPr>
                <w:shd w:val="clear" w:color="auto" w:fill="ffffff"/>
                <w:lang w:val="ru-RU" w:eastAsia="ru-RU"/>
              </w:rPr>
              <w:t xml:space="preserve"> 60 </w:t>
            </w:r>
            <w:r>
              <w:rPr>
                <w:shd w:val="clear" w:color="auto" w:fill="ffffff"/>
                <w:lang w:val="ru-RU" w:eastAsia="ru-RU"/>
              </w:rPr>
              <w:t xml:space="preserve">хвилин</w:t>
            </w:r>
            <w:r>
              <w:rPr>
                <w:shd w:val="clear" w:color="auto" w:fill="ffffff"/>
                <w:lang w:val="ru-RU" w:eastAsia="ru-RU"/>
              </w:rPr>
              <w:t xml:space="preserve">; </w:t>
            </w:r>
            <w:r/>
          </w:p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Рівень</w:t>
            </w:r>
            <w:r>
              <w:rPr>
                <w:shd w:val="clear" w:color="auto" w:fill="ffffff"/>
                <w:lang w:val="ru-RU" w:eastAsia="ru-RU"/>
              </w:rPr>
              <w:t xml:space="preserve"> шуму – не </w:t>
            </w:r>
            <w:r>
              <w:rPr>
                <w:shd w:val="clear" w:color="auto" w:fill="ffffff"/>
                <w:lang w:val="ru-RU" w:eastAsia="ru-RU"/>
              </w:rPr>
              <w:t xml:space="preserve">більше</w:t>
            </w:r>
            <w:r>
              <w:rPr>
                <w:shd w:val="clear" w:color="auto" w:fill="ffffff"/>
                <w:lang w:val="ru-RU" w:eastAsia="ru-RU"/>
              </w:rPr>
              <w:t xml:space="preserve"> 80 ДБ.; </w:t>
            </w:r>
            <w:r/>
          </w:p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Фільтр</w:t>
            </w:r>
            <w:r>
              <w:rPr>
                <w:shd w:val="clear" w:color="auto" w:fill="ffffff"/>
                <w:lang w:val="ru-RU" w:eastAsia="ru-RU"/>
              </w:rPr>
              <w:t xml:space="preserve">, </w:t>
            </w:r>
            <w:r>
              <w:rPr>
                <w:shd w:val="clear" w:color="auto" w:fill="ffffff"/>
                <w:lang w:val="ru-RU" w:eastAsia="ru-RU"/>
              </w:rPr>
              <w:t xml:space="preserve">що</w:t>
            </w:r>
            <w:r>
              <w:rPr>
                <w:shd w:val="clear" w:color="auto" w:fill="ffffff"/>
                <w:lang w:val="ru-RU" w:eastAsia="ru-RU"/>
              </w:rPr>
              <w:t xml:space="preserve"> не </w:t>
            </w:r>
            <w:r>
              <w:rPr>
                <w:shd w:val="clear" w:color="auto" w:fill="ffffff"/>
                <w:lang w:val="ru-RU" w:eastAsia="ru-RU"/>
              </w:rPr>
              <w:t xml:space="preserve">вимагає</w:t>
            </w:r>
            <w:r>
              <w:rPr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hd w:val="clear" w:color="auto" w:fill="ffffff"/>
                <w:lang w:val="ru-RU" w:eastAsia="ru-RU"/>
              </w:rPr>
              <w:t xml:space="preserve">заміни</w:t>
            </w:r>
            <w:r>
              <w:rPr>
                <w:shd w:val="clear" w:color="auto" w:fill="ffffff"/>
                <w:lang w:val="ru-RU" w:eastAsia="ru-RU"/>
              </w:rPr>
              <w:t xml:space="preserve">; </w:t>
            </w:r>
            <w:r/>
          </w:p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Потужність</w:t>
            </w:r>
            <w:r>
              <w:rPr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hd w:val="clear" w:color="auto" w:fill="ffffff"/>
                <w:lang w:val="ru-RU" w:eastAsia="ru-RU"/>
              </w:rPr>
              <w:t xml:space="preserve">споживання</w:t>
            </w:r>
            <w:r>
              <w:rPr>
                <w:shd w:val="clear" w:color="auto" w:fill="ffffff"/>
                <w:lang w:val="ru-RU" w:eastAsia="ru-RU"/>
              </w:rPr>
              <w:t xml:space="preserve"> – </w:t>
            </w:r>
            <w:r>
              <w:rPr>
                <w:shd w:val="clear" w:color="auto" w:fill="ffffff"/>
                <w:lang w:val="ru-RU" w:eastAsia="ru-RU"/>
              </w:rPr>
              <w:t xml:space="preserve">біля</w:t>
            </w:r>
            <w:r>
              <w:rPr>
                <w:shd w:val="clear" w:color="auto" w:fill="ffffff"/>
                <w:lang w:val="ru-RU" w:eastAsia="ru-RU"/>
              </w:rPr>
              <w:t xml:space="preserve"> 525 Вт; </w:t>
            </w:r>
            <w:r/>
          </w:p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Об’єм</w:t>
            </w:r>
            <w:r>
              <w:rPr>
                <w:shd w:val="clear" w:color="auto" w:fill="ffffff"/>
                <w:lang w:val="ru-RU" w:eastAsia="ru-RU"/>
              </w:rPr>
              <w:t xml:space="preserve"> контейнера –     0,76 л.; </w:t>
            </w:r>
            <w:r/>
          </w:p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Вага у </w:t>
            </w:r>
            <w:r>
              <w:rPr>
                <w:shd w:val="clear" w:color="auto" w:fill="ffffff"/>
                <w:lang w:val="ru-RU" w:eastAsia="ru-RU"/>
              </w:rPr>
              <w:t xml:space="preserve">зборі</w:t>
            </w:r>
            <w:r>
              <w:rPr>
                <w:shd w:val="clear" w:color="auto" w:fill="ffffff"/>
                <w:lang w:val="ru-RU" w:eastAsia="ru-RU"/>
              </w:rPr>
              <w:t xml:space="preserve"> – 2,68 кг.; </w:t>
            </w:r>
            <w:r/>
          </w:p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Розміри</w:t>
            </w:r>
            <w:r>
              <w:rPr>
                <w:shd w:val="clear" w:color="auto" w:fill="ffffff"/>
                <w:lang w:val="ru-RU" w:eastAsia="ru-RU"/>
              </w:rPr>
              <w:t xml:space="preserve"> (</w:t>
            </w:r>
            <w:r>
              <w:rPr>
                <w:shd w:val="clear" w:color="auto" w:fill="ffffff"/>
                <w:lang w:val="ru-RU" w:eastAsia="ru-RU"/>
              </w:rPr>
              <w:t xml:space="preserve">ВхДхШ</w:t>
            </w:r>
            <w:r>
              <w:rPr>
                <w:shd w:val="clear" w:color="auto" w:fill="ffffff"/>
                <w:lang w:val="ru-RU" w:eastAsia="ru-RU"/>
              </w:rPr>
              <w:t xml:space="preserve">) – 261х28х250; </w:t>
            </w:r>
            <w:r/>
          </w:p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Тривалість</w:t>
            </w:r>
            <w:r>
              <w:rPr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hd w:val="clear" w:color="auto" w:fill="ffffff"/>
                <w:lang w:val="ru-RU" w:eastAsia="ru-RU"/>
              </w:rPr>
              <w:t xml:space="preserve">зарядження</w:t>
            </w:r>
            <w:r>
              <w:rPr>
                <w:shd w:val="clear" w:color="auto" w:fill="ffffff"/>
                <w:lang w:val="ru-RU" w:eastAsia="ru-RU"/>
              </w:rPr>
              <w:t xml:space="preserve"> – 3,5 </w:t>
            </w:r>
            <w:r>
              <w:rPr>
                <w:shd w:val="clear" w:color="auto" w:fill="ffffff"/>
                <w:lang w:val="ru-RU" w:eastAsia="ru-RU"/>
              </w:rPr>
              <w:t xml:space="preserve">години</w:t>
            </w:r>
            <w:r>
              <w:rPr>
                <w:shd w:val="clear" w:color="auto" w:fill="ffffff"/>
                <w:lang w:val="ru-RU" w:eastAsia="ru-RU"/>
              </w:rPr>
              <w:t xml:space="preserve">; </w:t>
            </w:r>
            <w:r/>
          </w:p>
          <w:p>
            <w:pPr>
              <w:pStyle w:val="742"/>
              <w:spacing w:before="0" w:beforeAutospacing="0" w:after="0" w:afterAutospacing="0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Щітки</w:t>
            </w:r>
            <w:r>
              <w:rPr>
                <w:shd w:val="clear" w:color="auto" w:fill="ffffff"/>
                <w:lang w:val="ru-RU" w:eastAsia="ru-RU"/>
              </w:rPr>
              <w:t xml:space="preserve"> – насадка з </w:t>
            </w:r>
            <w:r>
              <w:rPr>
                <w:shd w:val="clear" w:color="auto" w:fill="ffffff"/>
                <w:lang w:val="ru-RU" w:eastAsia="ru-RU"/>
              </w:rPr>
              <w:t xml:space="preserve">високим</w:t>
            </w:r>
            <w:r>
              <w:rPr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hd w:val="clear" w:color="auto" w:fill="ffffff"/>
                <w:lang w:val="ru-RU" w:eastAsia="ru-RU"/>
              </w:rPr>
              <w:t xml:space="preserve">крутним</w:t>
            </w:r>
            <w:r>
              <w:rPr>
                <w:shd w:val="clear" w:color="auto" w:fill="ffffff"/>
                <w:lang w:val="ru-RU" w:eastAsia="ru-RU"/>
              </w:rPr>
              <w:t xml:space="preserve"> моментом, насадка з </w:t>
            </w:r>
            <w:r>
              <w:rPr>
                <w:shd w:val="clear" w:color="auto" w:fill="ffffff"/>
                <w:lang w:val="ru-RU" w:eastAsia="ru-RU"/>
              </w:rPr>
              <w:t xml:space="preserve">м'яким</w:t>
            </w:r>
            <w:r>
              <w:rPr>
                <w:shd w:val="clear" w:color="auto" w:fill="ffffff"/>
                <w:lang w:val="ru-RU" w:eastAsia="ru-RU"/>
              </w:rPr>
              <w:t xml:space="preserve"> валиком, </w:t>
            </w:r>
            <w:r>
              <w:rPr>
                <w:shd w:val="clear" w:color="auto" w:fill="ffffff"/>
                <w:lang w:val="ru-RU" w:eastAsia="ru-RU"/>
              </w:rPr>
              <w:t xml:space="preserve">комбінована</w:t>
            </w:r>
            <w:r>
              <w:rPr>
                <w:shd w:val="clear" w:color="auto" w:fill="ffffff"/>
                <w:lang w:val="ru-RU" w:eastAsia="ru-RU"/>
              </w:rPr>
              <w:t xml:space="preserve"> насадка, </w:t>
            </w:r>
            <w:r>
              <w:rPr>
                <w:shd w:val="clear" w:color="auto" w:fill="ffffff"/>
                <w:lang w:val="ru-RU" w:eastAsia="ru-RU"/>
              </w:rPr>
              <w:t xml:space="preserve">щілинна</w:t>
            </w:r>
            <w:r>
              <w:rPr>
                <w:shd w:val="clear" w:color="auto" w:fill="ffffff"/>
                <w:lang w:val="ru-RU" w:eastAsia="ru-RU"/>
              </w:rPr>
              <w:t xml:space="preserve"> насадка, </w:t>
            </w:r>
            <w:r>
              <w:rPr>
                <w:shd w:val="clear" w:color="auto" w:fill="ffffff"/>
                <w:lang w:val="ru-RU" w:eastAsia="ru-RU"/>
              </w:rPr>
              <w:t xml:space="preserve">міні-електрощітки</w:t>
            </w:r>
            <w:r>
              <w:rPr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hd w:val="clear" w:color="auto" w:fill="ffffff"/>
                <w:lang w:val="ru-RU" w:eastAsia="ru-RU"/>
              </w:rPr>
              <w:t xml:space="preserve">щітка</w:t>
            </w:r>
            <w:r>
              <w:rPr>
                <w:shd w:val="clear" w:color="auto" w:fill="ffffff"/>
                <w:lang w:val="ru-RU" w:eastAsia="ru-RU"/>
              </w:rPr>
              <w:t xml:space="preserve"> з </w:t>
            </w:r>
            <w:r>
              <w:rPr>
                <w:shd w:val="clear" w:color="auto" w:fill="ffffff"/>
                <w:lang w:val="ru-RU" w:eastAsia="ru-RU"/>
              </w:rPr>
              <w:t xml:space="preserve">м'якою</w:t>
            </w:r>
            <w:r>
              <w:rPr>
                <w:shd w:val="clear" w:color="auto" w:fill="ffffff"/>
                <w:lang w:val="ru-RU" w:eastAsia="ru-RU"/>
              </w:rPr>
              <w:t xml:space="preserve"> щетиною, </w:t>
            </w:r>
            <w:r>
              <w:rPr>
                <w:shd w:val="clear" w:color="auto" w:fill="ffffff"/>
                <w:lang w:val="ru-RU" w:eastAsia="ru-RU"/>
              </w:rPr>
              <w:t xml:space="preserve">щітка</w:t>
            </w:r>
            <w:r>
              <w:rPr>
                <w:shd w:val="clear" w:color="auto" w:fill="ffffff"/>
                <w:lang w:val="ru-RU" w:eastAsia="ru-RU"/>
              </w:rPr>
              <w:t xml:space="preserve"> з </w:t>
            </w:r>
            <w:r>
              <w:rPr>
                <w:shd w:val="clear" w:color="auto" w:fill="ffffff"/>
                <w:lang w:val="ru-RU" w:eastAsia="ru-RU"/>
              </w:rPr>
              <w:t xml:space="preserve">жорсткою</w:t>
            </w:r>
            <w:r>
              <w:rPr>
                <w:shd w:val="clear" w:color="auto" w:fill="ffffff"/>
                <w:lang w:val="ru-RU" w:eastAsia="ru-RU"/>
              </w:rPr>
              <w:t xml:space="preserve"> щетиною; </w:t>
            </w:r>
            <w:r/>
          </w:p>
          <w:p>
            <w:pPr>
              <w:pStyle w:val="742"/>
              <w:spacing w:before="0" w:beforeAutospacing="0" w:after="0" w:afterAutospacing="0"/>
              <w:rPr>
                <w:color w:val="221f1f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Зарядний</w:t>
            </w:r>
            <w:r>
              <w:rPr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hd w:val="clear" w:color="auto" w:fill="ffffff"/>
                <w:lang w:val="ru-RU" w:eastAsia="ru-RU"/>
              </w:rPr>
              <w:t xml:space="preserve">пристрій</w:t>
            </w:r>
            <w:r>
              <w:rPr>
                <w:shd w:val="clear" w:color="auto" w:fill="ffffff"/>
                <w:lang w:val="ru-RU" w:eastAsia="ru-RU"/>
              </w:rPr>
              <w:t xml:space="preserve">.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27 893,50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сім тисяч вісімсот дев’яносто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1" w:customStyle="1">
    <w:name w:val="docdata"/>
    <w:basedOn w:val="707"/>
  </w:style>
  <w:style w:type="paragraph" w:styleId="742" w:customStyle="1">
    <w:name w:val="ng-star-inserted"/>
    <w:basedOn w:val="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2023-11-12T20:43:21Z</dcterms:modified>
</cp:coreProperties>
</file>