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з питань визначення </w:t>
      </w:r>
      <w:r>
        <w:rPr>
          <w:b w:val="0"/>
          <w:bCs w:val="0"/>
          <w:sz w:val="24"/>
          <w:szCs w:val="24"/>
        </w:rPr>
        <w:t xml:space="preserve">вартостi</w:t>
      </w:r>
      <w:r>
        <w:rPr>
          <w:b w:val="0"/>
          <w:bCs w:val="0"/>
          <w:sz w:val="24"/>
          <w:szCs w:val="24"/>
        </w:rPr>
        <w:t xml:space="preserve"> </w:t>
      </w:r>
      <w:r>
        <w:rPr>
          <w:b w:val="0"/>
          <w:bCs w:val="0"/>
          <w:sz w:val="24"/>
          <w:szCs w:val="24"/>
        </w:rPr>
        <w:t xml:space="preserve">будiвельних</w:t>
      </w:r>
      <w:r>
        <w:rPr>
          <w:b w:val="0"/>
          <w:bCs w:val="0"/>
          <w:sz w:val="24"/>
          <w:szCs w:val="24"/>
        </w:rPr>
        <w:t xml:space="preserve"> </w:t>
      </w:r>
      <w:r>
        <w:rPr>
          <w:b w:val="0"/>
          <w:bCs w:val="0"/>
          <w:sz w:val="24"/>
          <w:szCs w:val="24"/>
        </w:rPr>
        <w:t xml:space="preserve">робiт</w:t>
      </w:r>
      <w:r>
        <w:rPr>
          <w:b w:val="0"/>
          <w:bCs w:val="0"/>
          <w:sz w:val="24"/>
          <w:szCs w:val="24"/>
        </w:rPr>
        <w:t xml:space="preserve"> при </w:t>
      </w:r>
      <w:r>
        <w:rPr>
          <w:b w:val="0"/>
          <w:bCs w:val="0"/>
          <w:sz w:val="24"/>
          <w:szCs w:val="24"/>
        </w:rPr>
        <w:t xml:space="preserve">застосуваннi</w:t>
      </w:r>
      <w:r>
        <w:rPr>
          <w:b w:val="0"/>
          <w:bCs w:val="0"/>
          <w:sz w:val="24"/>
          <w:szCs w:val="24"/>
        </w:rPr>
        <w:t xml:space="preserve"> ПК АВК-5 "Автоматизований випуск на ПЕОМ кошторисно-ресурсної </w:t>
      </w:r>
      <w:r>
        <w:rPr>
          <w:b w:val="0"/>
          <w:bCs w:val="0"/>
          <w:sz w:val="24"/>
          <w:szCs w:val="24"/>
        </w:rPr>
        <w:t xml:space="preserve">документацiї</w:t>
      </w:r>
      <w:r>
        <w:rPr>
          <w:b w:val="0"/>
          <w:bCs w:val="0"/>
          <w:sz w:val="24"/>
          <w:szCs w:val="24"/>
        </w:rPr>
        <w:t xml:space="preserve">" ПК АВК-5 на 2 робочих </w:t>
      </w:r>
      <w:r>
        <w:rPr>
          <w:b w:val="0"/>
          <w:bCs w:val="0"/>
          <w:sz w:val="24"/>
          <w:szCs w:val="24"/>
        </w:rPr>
        <w:t xml:space="preserve">мiсцях</w:t>
      </w:r>
      <w:r>
        <w:rPr>
          <w:b w:val="0"/>
          <w:bCs w:val="0"/>
          <w:sz w:val="24"/>
          <w:szCs w:val="24"/>
        </w:rPr>
        <w:t xml:space="preserve"> (2 з підсистемою "Підрядник")</w:t>
      </w:r>
      <w:r>
        <w:rPr>
          <w:b w:val="0"/>
          <w:bCs w:val="0"/>
          <w:sz w:val="24"/>
          <w:szCs w:val="24"/>
          <w:lang w:val="en-US"/>
        </w:rPr>
        <w:t xml:space="preserve"> </w:t>
      </w:r>
      <w:r>
        <w:rPr>
          <w:b w:val="0"/>
          <w:bCs w:val="0"/>
          <w:sz w:val="24"/>
          <w:szCs w:val="24"/>
        </w:rPr>
        <w:t xml:space="preserve">за кодом  ДК 021:2015: 72260000-5 Послуги, пов’язані з програмним забезпеченням</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001741</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Послуги з питань визначення </w:t>
      </w:r>
      <w:r>
        <w:rPr>
          <w:rFonts w:ascii="Times New Roman" w:hAnsi="Times New Roman" w:cs="Times New Roman"/>
          <w:sz w:val="24"/>
          <w:szCs w:val="24"/>
        </w:rPr>
        <w:t xml:space="preserve">вартостi</w:t>
      </w:r>
      <w:r>
        <w:rPr>
          <w:rFonts w:ascii="Times New Roman" w:hAnsi="Times New Roman" w:cs="Times New Roman"/>
          <w:sz w:val="24"/>
          <w:szCs w:val="24"/>
        </w:rPr>
        <w:t xml:space="preserve"> </w:t>
      </w:r>
      <w:r>
        <w:rPr>
          <w:rFonts w:ascii="Times New Roman" w:hAnsi="Times New Roman" w:cs="Times New Roman"/>
          <w:sz w:val="24"/>
          <w:szCs w:val="24"/>
        </w:rPr>
        <w:t xml:space="preserve">будiвельних</w:t>
      </w:r>
      <w:r>
        <w:rPr>
          <w:rFonts w:ascii="Times New Roman" w:hAnsi="Times New Roman" w:cs="Times New Roman"/>
          <w:sz w:val="24"/>
          <w:szCs w:val="24"/>
        </w:rPr>
        <w:t xml:space="preserve"> </w:t>
      </w:r>
      <w:r>
        <w:rPr>
          <w:rFonts w:ascii="Times New Roman" w:hAnsi="Times New Roman" w:cs="Times New Roman"/>
          <w:sz w:val="24"/>
          <w:szCs w:val="24"/>
        </w:rPr>
        <w:t xml:space="preserve">робiт</w:t>
      </w:r>
      <w:r>
        <w:rPr>
          <w:rFonts w:ascii="Times New Roman" w:hAnsi="Times New Roman" w:cs="Times New Roman"/>
          <w:sz w:val="24"/>
          <w:szCs w:val="24"/>
        </w:rPr>
        <w:t xml:space="preserve"> при </w:t>
      </w:r>
      <w:r>
        <w:rPr>
          <w:rFonts w:ascii="Times New Roman" w:hAnsi="Times New Roman" w:cs="Times New Roman"/>
          <w:sz w:val="24"/>
          <w:szCs w:val="24"/>
        </w:rPr>
        <w:t xml:space="preserve">застосуваннi</w:t>
      </w:r>
      <w:r>
        <w:rPr>
          <w:rFonts w:ascii="Times New Roman" w:hAnsi="Times New Roman" w:cs="Times New Roman"/>
          <w:sz w:val="24"/>
          <w:szCs w:val="24"/>
        </w:rPr>
        <w:t xml:space="preserve"> ПК АВК-5 "Автоматизований випуск на ПЕОМ кошторисно-ресурсної </w:t>
      </w:r>
      <w:r>
        <w:rPr>
          <w:rFonts w:ascii="Times New Roman" w:hAnsi="Times New Roman" w:cs="Times New Roman"/>
          <w:sz w:val="24"/>
          <w:szCs w:val="24"/>
        </w:rPr>
        <w:t xml:space="preserve">документацiї</w:t>
      </w:r>
      <w:r>
        <w:rPr>
          <w:rFonts w:ascii="Times New Roman" w:hAnsi="Times New Roman" w:cs="Times New Roman"/>
          <w:sz w:val="24"/>
          <w:szCs w:val="24"/>
        </w:rPr>
        <w:t xml:space="preserve">" ПК АВК-5 на 2 робочих </w:t>
      </w:r>
      <w:r>
        <w:rPr>
          <w:rFonts w:ascii="Times New Roman" w:hAnsi="Times New Roman" w:cs="Times New Roman"/>
          <w:sz w:val="24"/>
          <w:szCs w:val="24"/>
        </w:rPr>
        <w:t xml:space="preserve">мiсцях</w:t>
      </w:r>
      <w:r>
        <w:rPr>
          <w:rFonts w:ascii="Times New Roman" w:hAnsi="Times New Roman" w:cs="Times New Roman"/>
          <w:sz w:val="24"/>
          <w:szCs w:val="24"/>
        </w:rPr>
        <w:t xml:space="preserve"> (2 з підсистемою "Підрядник")</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за кодом  ДК 021:2015: 72260000-5 Послуги, пов’язані з програмним забезпеченням</w:t>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bookmarkStart w:id="0" w:name="_gjdgxs"/>
      <w:r/>
      <w:bookmarkEnd w:id="0"/>
      <w:r>
        <w:rPr>
          <w:rFonts w:ascii="Times New Roman" w:hAnsi="Times New Roman" w:cs="Times New Roman"/>
          <w:b/>
          <w:color w:val="000000"/>
          <w:sz w:val="24"/>
          <w:szCs w:val="24"/>
        </w:rPr>
        <w:t xml:space="preserve">ТЕХНІЧНІ ВИМОГИ</w:t>
      </w:r>
      <w:r/>
    </w:p>
    <w:tbl>
      <w:tblPr>
        <w:tblW w:w="9781" w:type="dxa"/>
        <w:tblInd w:w="132" w:type="dxa"/>
        <w:tblLayout w:type="fixed"/>
        <w:tblLook w:val="04A0" w:firstRow="1" w:lastRow="0" w:firstColumn="1" w:lastColumn="0" w:noHBand="0" w:noVBand="1"/>
      </w:tblPr>
      <w:tblGrid>
        <w:gridCol w:w="784"/>
        <w:gridCol w:w="6455"/>
        <w:gridCol w:w="1369"/>
        <w:gridCol w:w="1173"/>
      </w:tblGrid>
      <w:tr>
        <w:trPr>
          <w:trHeight w:val="1049"/>
        </w:trPr>
        <w:tc>
          <w:tcPr>
            <w:shd w:val="clear" w:color="auto" w:fill="auto"/>
            <w:tcBorders>
              <w:top w:val="single" w:color="auto" w:sz="8" w:space="0"/>
              <w:left w:val="single" w:color="auto" w:sz="8" w:space="0"/>
              <w:bottom w:val="single" w:color="000000" w:sz="8" w:space="0"/>
              <w:right w:val="single" w:color="auto" w:sz="8" w:space="0"/>
            </w:tcBorders>
            <w:tcW w:w="784" w:type="dxa"/>
            <w:vAlign w:val="center"/>
            <w:textDirection w:val="lrTb"/>
            <w:noWrap/>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w:t>
            </w:r>
            <w:r/>
          </w:p>
        </w:tc>
        <w:tc>
          <w:tcPr>
            <w:shd w:val="clear" w:color="auto" w:fill="auto"/>
            <w:tcBorders>
              <w:top w:val="single" w:color="auto" w:sz="8" w:space="0"/>
              <w:left w:val="single" w:color="auto" w:sz="8" w:space="0"/>
              <w:bottom w:val="single" w:color="000000" w:sz="8" w:space="0"/>
              <w:right w:val="single" w:color="000000" w:sz="8" w:space="0"/>
            </w:tcBorders>
            <w:tcW w:w="6455"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Найменування </w:t>
            </w:r>
            <w:r/>
          </w:p>
        </w:tc>
        <w:tc>
          <w:tcPr>
            <w:shd w:val="clear" w:color="auto" w:fill="auto"/>
            <w:tcBorders>
              <w:top w:val="single" w:color="auto" w:sz="8" w:space="0"/>
              <w:left w:val="single" w:color="auto" w:sz="8" w:space="0"/>
              <w:bottom w:val="none" w:color="000000" w:sz="4" w:space="0"/>
              <w:right w:val="single" w:color="auto" w:sz="8" w:space="0"/>
            </w:tcBorders>
            <w:tcW w:w="1369"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Од. виміру</w:t>
            </w:r>
            <w:r/>
          </w:p>
        </w:tc>
        <w:tc>
          <w:tcPr>
            <w:shd w:val="clear" w:color="auto" w:fill="auto"/>
            <w:tcBorders>
              <w:top w:val="single" w:color="auto" w:sz="8" w:space="0"/>
              <w:left w:val="single" w:color="auto" w:sz="8" w:space="0"/>
              <w:bottom w:val="none" w:color="000000" w:sz="4" w:space="0"/>
              <w:right w:val="single" w:color="auto" w:sz="8" w:space="0"/>
            </w:tcBorders>
            <w:tcW w:w="1173"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rHeight w:val="409"/>
        </w:trPr>
        <w:tc>
          <w:tcPr>
            <w:shd w:val="clear" w:color="auto" w:fill="auto"/>
            <w:tcBorders>
              <w:top w:val="single" w:color="auto" w:sz="8" w:space="0"/>
              <w:left w:val="single" w:color="auto" w:sz="8" w:space="0"/>
              <w:bottom w:val="single" w:color="000000" w:sz="8" w:space="0"/>
              <w:right w:val="single" w:color="auto" w:sz="8" w:space="0"/>
            </w:tcBorders>
            <w:tcW w:w="784" w:type="dxa"/>
            <w:textDirection w:val="lrTb"/>
            <w:noWrap/>
          </w:tcPr>
          <w:p>
            <w:pPr>
              <w:jc w:val="cente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1</w:t>
            </w:r>
            <w:r/>
          </w:p>
        </w:tc>
        <w:tc>
          <w:tcPr>
            <w:shd w:val="clear" w:color="auto" w:fill="auto"/>
            <w:tcBorders>
              <w:top w:val="single" w:color="auto" w:sz="8" w:space="0"/>
              <w:left w:val="single" w:color="auto" w:sz="8" w:space="0"/>
              <w:bottom w:val="single" w:color="000000" w:sz="8" w:space="0"/>
              <w:right w:val="single" w:color="000000" w:sz="8" w:space="0"/>
            </w:tcBorders>
            <w:tcW w:w="6455" w:type="dxa"/>
            <w:textDirection w:val="lrTb"/>
            <w:noWrap w:val="false"/>
          </w:tcPr>
          <w:p>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Послуги з питань визначення </w:t>
            </w:r>
            <w:r>
              <w:rPr>
                <w:rFonts w:ascii="Times New Roman" w:hAnsi="Times New Roman" w:cs="Times New Roman"/>
                <w:sz w:val="24"/>
                <w:szCs w:val="24"/>
              </w:rPr>
              <w:t xml:space="preserve">вартостi</w:t>
            </w:r>
            <w:r>
              <w:rPr>
                <w:rFonts w:ascii="Times New Roman" w:hAnsi="Times New Roman" w:cs="Times New Roman"/>
                <w:sz w:val="24"/>
                <w:szCs w:val="24"/>
              </w:rPr>
              <w:t xml:space="preserve"> </w:t>
            </w:r>
            <w:r>
              <w:rPr>
                <w:rFonts w:ascii="Times New Roman" w:hAnsi="Times New Roman" w:cs="Times New Roman"/>
                <w:sz w:val="24"/>
                <w:szCs w:val="24"/>
              </w:rPr>
              <w:t xml:space="preserve">будiвельних</w:t>
            </w:r>
            <w:r>
              <w:rPr>
                <w:rFonts w:ascii="Times New Roman" w:hAnsi="Times New Roman" w:cs="Times New Roman"/>
                <w:sz w:val="24"/>
                <w:szCs w:val="24"/>
              </w:rPr>
              <w:t xml:space="preserve"> </w:t>
            </w:r>
            <w:r>
              <w:rPr>
                <w:rFonts w:ascii="Times New Roman" w:hAnsi="Times New Roman" w:cs="Times New Roman"/>
                <w:sz w:val="24"/>
                <w:szCs w:val="24"/>
              </w:rPr>
              <w:t xml:space="preserve">робiт</w:t>
            </w:r>
            <w:r>
              <w:rPr>
                <w:rFonts w:ascii="Times New Roman" w:hAnsi="Times New Roman" w:cs="Times New Roman"/>
                <w:sz w:val="24"/>
                <w:szCs w:val="24"/>
              </w:rPr>
              <w:t xml:space="preserve"> при </w:t>
            </w:r>
            <w:r>
              <w:rPr>
                <w:rFonts w:ascii="Times New Roman" w:hAnsi="Times New Roman" w:cs="Times New Roman"/>
                <w:sz w:val="24"/>
                <w:szCs w:val="24"/>
              </w:rPr>
              <w:t xml:space="preserve">застосуваннi</w:t>
            </w:r>
            <w:r>
              <w:rPr>
                <w:rFonts w:ascii="Times New Roman" w:hAnsi="Times New Roman" w:cs="Times New Roman"/>
                <w:sz w:val="24"/>
                <w:szCs w:val="24"/>
              </w:rPr>
              <w:t xml:space="preserve"> ПК АВК-5 "Автоматизований випуск на ПЕОМ кошторисно-ресурсної </w:t>
            </w:r>
            <w:r>
              <w:rPr>
                <w:rFonts w:ascii="Times New Roman" w:hAnsi="Times New Roman" w:cs="Times New Roman"/>
                <w:sz w:val="24"/>
                <w:szCs w:val="24"/>
              </w:rPr>
              <w:t xml:space="preserve">документацiї</w:t>
            </w:r>
            <w:r>
              <w:rPr>
                <w:rFonts w:ascii="Times New Roman" w:hAnsi="Times New Roman" w:cs="Times New Roman"/>
                <w:sz w:val="24"/>
                <w:szCs w:val="24"/>
              </w:rPr>
              <w:t xml:space="preserve">" ПК АВК-5 на 2 робочих </w:t>
            </w:r>
            <w:r>
              <w:rPr>
                <w:rFonts w:ascii="Times New Roman" w:hAnsi="Times New Roman" w:cs="Times New Roman"/>
                <w:sz w:val="24"/>
                <w:szCs w:val="24"/>
              </w:rPr>
              <w:t xml:space="preserve">мiсцях</w:t>
            </w:r>
            <w:r>
              <w:rPr>
                <w:rFonts w:ascii="Times New Roman" w:hAnsi="Times New Roman" w:cs="Times New Roman"/>
                <w:sz w:val="24"/>
                <w:szCs w:val="24"/>
              </w:rPr>
              <w:t xml:space="preserve"> (2 з підсистемою "Підрядник")</w:t>
            </w:r>
            <w:r/>
          </w:p>
        </w:tc>
        <w:tc>
          <w:tcPr>
            <w:shd w:val="clear" w:color="auto" w:fill="auto"/>
            <w:tcBorders>
              <w:top w:val="single" w:color="auto" w:sz="8" w:space="0"/>
              <w:left w:val="single" w:color="auto" w:sz="8" w:space="0"/>
              <w:bottom w:val="none" w:color="000000" w:sz="4" w:space="0"/>
              <w:right w:val="single" w:color="auto" w:sz="8" w:space="0"/>
            </w:tcBorders>
            <w:tcW w:w="1369" w:type="dxa"/>
            <w:vAlign w:val="center"/>
            <w:textDirection w:val="lrTb"/>
            <w:noWrap w:val="false"/>
          </w:tcPr>
          <w:p>
            <w:pPr>
              <w:jc w:val="center"/>
              <w:spacing w:after="0" w:line="240" w:lineRule="auto"/>
              <w:rPr>
                <w:rFonts w:ascii="Times New Roman" w:hAnsi="Times New Roman" w:cs="Times New Roman"/>
                <w:b/>
                <w:bCs/>
                <w:sz w:val="24"/>
                <w:szCs w:val="24"/>
                <w:lang w:val="en-US"/>
              </w:rPr>
            </w:pPr>
            <w:r>
              <w:rPr>
                <w:rFonts w:ascii="Times New Roman" w:hAnsi="Times New Roman" w:cs="Times New Roman"/>
                <w:bCs/>
                <w:sz w:val="24"/>
                <w:szCs w:val="24"/>
              </w:rPr>
              <w:t xml:space="preserve">послуга</w:t>
            </w:r>
            <w:r/>
          </w:p>
        </w:tc>
        <w:tc>
          <w:tcPr>
            <w:shd w:val="clear" w:color="auto" w:fill="auto"/>
            <w:tcBorders>
              <w:top w:val="single" w:color="auto" w:sz="8" w:space="0"/>
              <w:left w:val="single" w:color="auto" w:sz="8" w:space="0"/>
              <w:bottom w:val="none" w:color="000000" w:sz="4" w:space="0"/>
              <w:right w:val="single" w:color="auto" w:sz="8" w:space="0"/>
            </w:tcBorders>
            <w:tcW w:w="1173"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1</w:t>
            </w:r>
            <w:r/>
          </w:p>
        </w:tc>
      </w:tr>
    </w:tbl>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Якість наданих Виконавцем Послуг повинна відповідати вимогам законодавства.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Надати у складі тендерної пропозицію копію </w:t>
      </w:r>
      <w:r>
        <w:rPr>
          <w:rFonts w:ascii="Times New Roman" w:hAnsi="Times New Roman" w:cs="Times New Roman"/>
          <w:sz w:val="24"/>
          <w:szCs w:val="24"/>
        </w:rPr>
        <w:t xml:space="preserve">авторизаційного</w:t>
      </w:r>
      <w:r>
        <w:rPr>
          <w:rFonts w:ascii="Times New Roman" w:hAnsi="Times New Roman" w:cs="Times New Roman"/>
          <w:sz w:val="24"/>
          <w:szCs w:val="24"/>
        </w:rPr>
        <w:t xml:space="preserve"> листа від ТОВ «НВФ «АВК </w:t>
      </w:r>
      <w:r>
        <w:rPr>
          <w:rFonts w:ascii="Times New Roman" w:hAnsi="Times New Roman" w:cs="Times New Roman"/>
          <w:sz w:val="24"/>
          <w:szCs w:val="24"/>
        </w:rPr>
        <w:t xml:space="preserve">Созидатель</w:t>
      </w:r>
      <w:r>
        <w:rPr>
          <w:rFonts w:ascii="Times New Roman" w:hAnsi="Times New Roman" w:cs="Times New Roman"/>
          <w:sz w:val="24"/>
          <w:szCs w:val="24"/>
        </w:rPr>
        <w:t xml:space="preserve">» на підтвердження, що Учас</w:t>
      </w:r>
      <w:r>
        <w:rPr>
          <w:rFonts w:ascii="Times New Roman" w:hAnsi="Times New Roman" w:cs="Times New Roman"/>
          <w:sz w:val="24"/>
          <w:szCs w:val="24"/>
        </w:rPr>
        <w:t xml:space="preserve">ник являється офіційним дилером по розповсюдженню на території України послуг, пов’язаних з комп’ютерною програмою «Програмний комплекс АВК-5 «Автоматизований випуск на ПЕОМ кошторисно-ресурсної документації), чинний на момент подання тендерної пропозиції.</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w:t>
      </w:r>
      <w:r>
        <w:rPr>
          <w:rFonts w:ascii="Times New Roman" w:hAnsi="Times New Roman" w:eastAsia="Times New Roman" w:cs="Times New Roman"/>
          <w:sz w:val="24"/>
          <w:szCs w:val="24"/>
          <w:lang w:eastAsia="ru-RU"/>
        </w:rPr>
        <w:t xml:space="preserve">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w:t>
      </w:r>
      <w:r>
        <w:rPr>
          <w:rFonts w:ascii="Times New Roman" w:hAnsi="Times New Roman" w:eastAsia="Times New Roman" w:cs="Times New Roman"/>
          <w:sz w:val="24"/>
          <w:szCs w:val="24"/>
          <w:lang w:eastAsia="ru-RU"/>
        </w:rPr>
        <w:t xml:space="preserve">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5 000</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п’ять тисяч</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165</cp:revision>
  <dcterms:created xsi:type="dcterms:W3CDTF">2022-11-01T12:47:00Z</dcterms:created>
  <dcterms:modified xsi:type="dcterms:W3CDTF">2024-09-06T08:58:08Z</dcterms:modified>
</cp:coreProperties>
</file>