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технічного</w:t>
      </w:r>
      <w:r>
        <w:rPr>
          <w:b w:val="0"/>
          <w:bCs w:val="0"/>
          <w:sz w:val="24"/>
          <w:szCs w:val="24"/>
        </w:rPr>
        <w:t xml:space="preserve"> </w:t>
      </w:r>
      <w:r>
        <w:rPr>
          <w:b w:val="0"/>
          <w:bCs w:val="0"/>
          <w:sz w:val="24"/>
          <w:szCs w:val="24"/>
          <w:shd w:val="clear" w:color="auto" w:fill="ffffff"/>
        </w:rPr>
        <w:t xml:space="preserve">обслуговування системи автоматичної пожежної сигналізації, системи газового</w:t>
      </w:r>
      <w:r>
        <w:rPr>
          <w:b w:val="0"/>
          <w:bCs w:val="0"/>
          <w:sz w:val="24"/>
          <w:szCs w:val="24"/>
        </w:rPr>
        <w:t xml:space="preserve"> </w:t>
      </w:r>
      <w:r>
        <w:rPr>
          <w:b w:val="0"/>
          <w:bCs w:val="0"/>
          <w:sz w:val="24"/>
          <w:szCs w:val="24"/>
          <w:shd w:val="clear" w:color="auto" w:fill="ffffff"/>
        </w:rPr>
        <w:t xml:space="preserve">пожежогасіння, системи оповіщення та системи управління пожежними</w:t>
      </w:r>
      <w:r>
        <w:rPr>
          <w:b w:val="0"/>
          <w:bCs w:val="0"/>
          <w:sz w:val="24"/>
          <w:szCs w:val="24"/>
        </w:rPr>
        <w:t xml:space="preserve"> </w:t>
      </w:r>
      <w:r>
        <w:rPr>
          <w:b w:val="0"/>
          <w:bCs w:val="0"/>
          <w:sz w:val="24"/>
          <w:szCs w:val="24"/>
          <w:shd w:val="clear" w:color="auto" w:fill="ffffff"/>
        </w:rPr>
        <w:t xml:space="preserve">кранами за </w:t>
      </w:r>
      <w:r>
        <w:rPr>
          <w:b w:val="0"/>
          <w:bCs w:val="0"/>
          <w:sz w:val="24"/>
          <w:szCs w:val="24"/>
          <w:shd w:val="clear" w:color="auto" w:fill="ffffff"/>
        </w:rPr>
        <w:t xml:space="preserve">адресою</w:t>
      </w:r>
      <w:r>
        <w:rPr>
          <w:b w:val="0"/>
          <w:bCs w:val="0"/>
          <w:sz w:val="24"/>
          <w:szCs w:val="24"/>
          <w:shd w:val="clear" w:color="auto" w:fill="ffffff"/>
        </w:rPr>
        <w:t xml:space="preserve">: м. Київ, вул. Волинська, 26 </w:t>
      </w:r>
      <w:r>
        <w:rPr>
          <w:b w:val="0"/>
          <w:bCs w:val="0"/>
          <w:spacing w:val="1"/>
          <w:sz w:val="24"/>
          <w:szCs w:val="24"/>
        </w:rPr>
        <w:t xml:space="preserve">за код ДК 021:2015 50410000-2 «</w:t>
      </w:r>
      <w:r>
        <w:rPr>
          <w:b w:val="0"/>
          <w:bCs w:val="0"/>
          <w:sz w:val="24"/>
          <w:szCs w:val="24"/>
        </w:rPr>
        <w:t xml:space="preserve">Послуги з ремонту і технічного обслуговування вимірювальних, випробувальних і контрольних приладів</w:t>
      </w:r>
      <w:r>
        <w:rPr>
          <w:b w:val="0"/>
          <w:bCs w:val="0"/>
          <w:spacing w:val="1"/>
          <w:sz w:val="24"/>
          <w:szCs w:val="24"/>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013686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обслуговування системи автоматичної пожежної сигналізації, системи газового</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пожежогасіння, системи оповіщення та системи управління пожежними</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кранами за </w:t>
      </w:r>
      <w:r>
        <w:rPr>
          <w:rFonts w:ascii="Times New Roman" w:hAnsi="Times New Roman" w:cs="Times New Roman"/>
          <w:sz w:val="24"/>
          <w:szCs w:val="24"/>
          <w:shd w:val="clear" w:color="auto" w:fill="ffffff"/>
        </w:rPr>
        <w:t xml:space="preserve">адресою</w:t>
      </w:r>
      <w:r>
        <w:rPr>
          <w:rFonts w:ascii="Times New Roman" w:hAnsi="Times New Roman" w:cs="Times New Roman"/>
          <w:sz w:val="24"/>
          <w:szCs w:val="24"/>
          <w:shd w:val="clear" w:color="auto" w:fill="ffffff"/>
        </w:rPr>
        <w:t xml:space="preserve">: м. Київ, вул. Волинська, 26 </w:t>
      </w:r>
      <w:r>
        <w:rPr>
          <w:rFonts w:ascii="Times New Roman" w:hAnsi="Times New Roman" w:cs="Times New Roman"/>
          <w:spacing w:val="1"/>
          <w:sz w:val="24"/>
          <w:szCs w:val="24"/>
        </w:rPr>
        <w:t xml:space="preserve">за код ДК 021:2015 50410000-2 «</w:t>
      </w:r>
      <w:r>
        <w:rPr>
          <w:rFonts w:ascii="Times New Roman" w:hAnsi="Times New Roman" w:cs="Times New Roman"/>
          <w:sz w:val="24"/>
          <w:szCs w:val="24"/>
        </w:rPr>
        <w:t xml:space="preserve">Послуги з ремонту і технічного обслуговування вимірювальних, випробувальних і контрольних приладів</w:t>
      </w:r>
      <w:r>
        <w:rPr>
          <w:rFonts w:ascii="Times New Roman" w:hAnsi="Times New Roman" w:cs="Times New Roman"/>
          <w:spacing w:val="1"/>
          <w:sz w:val="24"/>
          <w:szCs w:val="24"/>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системи газового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пожежогасіння, системи оповіщення та системи управління пожежними</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кранами за </w:t>
            </w:r>
            <w:r>
              <w:rPr>
                <w:rFonts w:ascii="Times New Roman" w:hAnsi="Times New Roman" w:cs="Times New Roman"/>
                <w:b/>
                <w:bCs/>
                <w:sz w:val="24"/>
                <w:szCs w:val="24"/>
                <w:shd w:val="clear" w:color="auto" w:fill="ffffff"/>
              </w:rPr>
              <w:t xml:space="preserve">адресою</w:t>
            </w:r>
            <w:r>
              <w:rPr>
                <w:rFonts w:ascii="Times New Roman" w:hAnsi="Times New Roman" w:cs="Times New Roman"/>
                <w:b/>
                <w:bCs/>
                <w:sz w:val="24"/>
                <w:szCs w:val="24"/>
                <w:shd w:val="clear" w:color="auto" w:fill="ffffff"/>
              </w:rPr>
              <w:t xml:space="preserve">: м. Київ, вул. Волинська, 26</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10</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both"/>
        <w:spacing w:after="0" w:line="240" w:lineRule="auto"/>
        <w:rPr>
          <w:rFonts w:ascii="Times New Roman" w:hAnsi="Times New Roman" w:eastAsia="Calibri" w:cs="Times New Roman"/>
          <w:sz w:val="24"/>
          <w:szCs w:val="24"/>
          <w:u w:val="single"/>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системи газового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пожежогасіння, системи оповіщення та системи управління пожежними</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кранами за </w:t>
      </w:r>
      <w:r>
        <w:rPr>
          <w:rFonts w:ascii="Times New Roman" w:hAnsi="Times New Roman" w:cs="Times New Roman"/>
          <w:b/>
          <w:bCs/>
          <w:sz w:val="24"/>
          <w:szCs w:val="24"/>
          <w:shd w:val="clear" w:color="auto" w:fill="ffffff"/>
        </w:rPr>
        <w:t xml:space="preserve">адресою</w:t>
      </w:r>
      <w:r>
        <w:rPr>
          <w:rFonts w:ascii="Times New Roman" w:hAnsi="Times New Roman" w:cs="Times New Roman"/>
          <w:b/>
          <w:bCs/>
          <w:sz w:val="24"/>
          <w:szCs w:val="24"/>
          <w:shd w:val="clear" w:color="auto" w:fill="ffffff"/>
        </w:rPr>
        <w:t xml:space="preserve">: м. Київ, вул. Волинська, 26, у складі:</w:t>
      </w:r>
      <w:r/>
    </w:p>
    <w:tbl>
      <w:tblPr>
        <w:tblW w:w="9781" w:type="dxa"/>
        <w:tblInd w:w="-152" w:type="dxa"/>
        <w:tblLayout w:type="fixed"/>
        <w:tblLook w:val="04A0" w:firstRow="1" w:lastRow="0" w:firstColumn="1" w:lastColumn="0" w:noHBand="0" w:noVBand="1"/>
      </w:tblPr>
      <w:tblGrid>
        <w:gridCol w:w="568"/>
        <w:gridCol w:w="7087"/>
        <w:gridCol w:w="2126"/>
      </w:tblGrid>
      <w:tr>
        <w:trPr>
          <w:trHeight w:val="690"/>
        </w:trPr>
        <w:tc>
          <w:tcPr>
            <w:shd w:val="clear" w:color="auto" w:fill="auto"/>
            <w:tcBorders>
              <w:top w:val="single" w:color="auto" w:sz="8" w:space="0"/>
              <w:left w:val="single" w:color="auto" w:sz="8" w:space="0"/>
              <w:bottom w:val="single" w:color="000000"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w:t>
            </w:r>
            <w:r/>
          </w:p>
        </w:tc>
        <w:tc>
          <w:tcPr>
            <w:shd w:val="clear" w:color="auto" w:fill="auto"/>
            <w:tcBorders>
              <w:top w:val="single" w:color="auto" w:sz="8" w:space="0"/>
              <w:left w:val="single" w:color="auto" w:sz="8" w:space="0"/>
              <w:bottom w:val="single" w:color="000000" w:sz="8" w:space="0"/>
              <w:right w:val="single" w:color="auto" w:sz="4" w:space="0"/>
            </w:tcBorders>
            <w:tcW w:w="7087" w:type="dxa"/>
            <w:vAlign w:val="center"/>
            <w:textDirection w:val="lrTb"/>
            <w:noWrap w:val="false"/>
          </w:tcPr>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Найменування </w:t>
            </w:r>
            <w:r/>
          </w:p>
        </w:tc>
        <w:tc>
          <w:tcPr>
            <w:shd w:val="clear" w:color="auto" w:fill="auto"/>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Од. виміру</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Зовнішній огляд пристроїв протипожежного устаткування </w:t>
            </w:r>
            <w:r/>
          </w:p>
        </w:tc>
        <w:tc>
          <w:tcPr>
            <w:shd w:val="clear" w:color="auto" w:fill="auto"/>
            <w:tcBorders>
              <w:top w:val="single" w:color="auto" w:sz="4"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283"/>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Ревізійний огляд блоків живлення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3</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50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5</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Перевірка працездатності органів керування (тестування програмного забезпечення)</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before="22"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Перевірка лінійної частини шлейфа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7</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spacing w:after="0" w:line="240" w:lineRule="auto"/>
              <w:tabs>
                <w:tab w:val="left" w:pos="270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Перевірка працездатності променів пожежної сигналізації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8</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працездатності сповіщувачів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9</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спрацьовування приладів приймально-контрольних пожежних при обриві і короткому замиканні </w:t>
            </w:r>
            <w:r>
              <w:rPr>
                <w:rFonts w:ascii="Times New Roman" w:hAnsi="Times New Roman" w:eastAsia="Calibri" w:cs="Times New Roman"/>
                <w:spacing w:val="-1"/>
                <w:sz w:val="24"/>
                <w:szCs w:val="24"/>
              </w:rPr>
              <w:t xml:space="preserve">променя</w:t>
            </w:r>
            <w:r>
              <w:rPr>
                <w:rFonts w:ascii="Times New Roman" w:hAnsi="Times New Roman" w:eastAsia="Calibri" w:cs="Times New Roman"/>
                <w:spacing w:val="-1"/>
                <w:sz w:val="24"/>
                <w:szCs w:val="24"/>
              </w:rPr>
              <w:t xml:space="preserve">, моноблоку</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10</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напруги в променях пожежної сигналізації </w:t>
            </w:r>
            <w:r/>
          </w:p>
        </w:tc>
        <w:tc>
          <w:tcPr>
            <w:shd w:val="clear" w:color="auto" w:fill="auto"/>
            <w:tcBorders>
              <w:top w:val="single" w:color="auto" w:sz="8" w:space="0"/>
              <w:left w:val="none" w:color="000000" w:sz="4" w:space="0"/>
              <w:bottom w:val="single" w:color="auto" w:sz="8" w:space="0"/>
              <w:right w:val="single" w:color="auto" w:sz="8"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11</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виносних сигналів тривоги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12</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13</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Контроль основного і резервного джерела живлення і перевірка автоматичного перемикання живлення з робочого воду на резервний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14</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та тестування модулів розширення провідних зон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 </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15</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Чищення від пилу димових сповіщувачів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16</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заземлення джерел живлення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17</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Вимір параметрів лінійних проводів сполучних ліній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18</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Вимір параметрів лінійних проводів шлейфа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19</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Контроль спрацювання світлозвукових пристроїв (СЗУ), табло, динаміків у приміщеннях </w:t>
            </w:r>
            <w:r>
              <w:rPr>
                <w:rFonts w:ascii="Times New Roman" w:hAnsi="Times New Roman" w:eastAsia="Calibri" w:cs="Times New Roman"/>
                <w:spacing w:val="-1"/>
                <w:sz w:val="24"/>
                <w:szCs w:val="24"/>
              </w:rPr>
              <w:t xml:space="preserve">захищуваного</w:t>
            </w:r>
            <w:r>
              <w:rPr>
                <w:rFonts w:ascii="Times New Roman" w:hAnsi="Times New Roman" w:eastAsia="Calibri" w:cs="Times New Roman"/>
                <w:spacing w:val="-1"/>
                <w:sz w:val="24"/>
                <w:szCs w:val="24"/>
              </w:rPr>
              <w:t xml:space="preserve"> об’єкта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r>
        <w:trPr>
          <w:trHeight w:val="339"/>
        </w:trPr>
        <w:tc>
          <w:tcPr>
            <w:shd w:val="clear" w:color="auto" w:fill="auto"/>
            <w:tcBorders>
              <w:top w:val="none" w:color="000000" w:sz="4" w:space="0"/>
              <w:left w:val="single" w:color="auto" w:sz="8" w:space="0"/>
              <w:bottom w:val="single" w:color="auto" w:sz="8" w:space="0"/>
              <w:right w:val="single" w:color="auto" w:sz="8" w:space="0"/>
            </w:tcBorders>
            <w:tcW w:w="568" w:type="dxa"/>
            <w:vAlign w:val="center"/>
            <w:textDirection w:val="lrTb"/>
            <w:noWrap/>
          </w:tcPr>
          <w:p>
            <w:pPr>
              <w:jc w:val="cente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20</w:t>
            </w:r>
            <w:r/>
          </w:p>
        </w:tc>
        <w:tc>
          <w:tcPr>
            <w:shd w:val="clear" w:color="000000" w:fill="ffffff"/>
            <w:tcBorders>
              <w:top w:val="none" w:color="000000" w:sz="4" w:space="0"/>
              <w:left w:val="none" w:color="000000" w:sz="4" w:space="0"/>
              <w:bottom w:val="single" w:color="auto" w:sz="8" w:space="0"/>
              <w:right w:val="single" w:color="auto" w:sz="8" w:space="0"/>
            </w:tcBorders>
            <w:tcW w:w="7087" w:type="dxa"/>
            <w:vAlign w:val="center"/>
            <w:textDirection w:val="lrTb"/>
            <w:noWrap w:val="false"/>
          </w:tcPr>
          <w:p>
            <w:pPr>
              <w:ind w:right="58"/>
              <w:jc w:val="both"/>
              <w:spacing w:after="0" w:line="240" w:lineRule="auto"/>
              <w:tabs>
                <w:tab w:val="left" w:pos="2704" w:leader="none"/>
              </w:tabs>
              <w:rPr>
                <w:rFonts w:ascii="Times New Roman" w:hAnsi="Times New Roman" w:eastAsia="Calibri" w:cs="Times New Roman"/>
                <w:spacing w:val="-1"/>
                <w:sz w:val="24"/>
                <w:szCs w:val="24"/>
              </w:rPr>
            </w:pPr>
            <w:r>
              <w:rPr>
                <w:rFonts w:ascii="Times New Roman" w:hAnsi="Times New Roman" w:eastAsia="Calibri" w:cs="Times New Roman"/>
                <w:spacing w:val="-1"/>
                <w:sz w:val="24"/>
                <w:szCs w:val="24"/>
              </w:rPr>
              <w:t xml:space="preserve">Перевірка надійності з’єднання всіх доступних випадковому доторканню металевих не струмопровідних частин ППКП з його </w:t>
            </w:r>
            <w:r>
              <w:rPr>
                <w:rFonts w:ascii="Times New Roman" w:hAnsi="Times New Roman" w:eastAsia="Calibri" w:cs="Times New Roman"/>
                <w:spacing w:val="-1"/>
                <w:sz w:val="24"/>
                <w:szCs w:val="24"/>
              </w:rPr>
              <w:t xml:space="preserve">зажимом</w:t>
            </w:r>
            <w:r>
              <w:rPr>
                <w:rFonts w:ascii="Times New Roman" w:hAnsi="Times New Roman" w:eastAsia="Calibri" w:cs="Times New Roman"/>
                <w:spacing w:val="-1"/>
                <w:sz w:val="24"/>
                <w:szCs w:val="24"/>
              </w:rPr>
              <w:t xml:space="preserve"> «заземлення», а також вимірювання значення опору між вказаними частинами та </w:t>
            </w:r>
            <w:r>
              <w:rPr>
                <w:rFonts w:ascii="Times New Roman" w:hAnsi="Times New Roman" w:eastAsia="Calibri" w:cs="Times New Roman"/>
                <w:spacing w:val="-1"/>
                <w:sz w:val="24"/>
                <w:szCs w:val="24"/>
              </w:rPr>
              <w:t xml:space="preserve">зажимом</w:t>
            </w:r>
            <w:r>
              <w:rPr>
                <w:rFonts w:ascii="Times New Roman" w:hAnsi="Times New Roman" w:eastAsia="Calibri" w:cs="Times New Roman"/>
                <w:spacing w:val="-1"/>
                <w:sz w:val="24"/>
                <w:szCs w:val="24"/>
              </w:rPr>
              <w:t xml:space="preserve"> «заземлення» на відповідність вимогам технічних умов на даний прилад  </w:t>
            </w:r>
            <w:r/>
          </w:p>
        </w:tc>
        <w:tc>
          <w:tcPr>
            <w:shd w:val="clear" w:color="auto" w:fill="auto"/>
            <w:tcBorders>
              <w:top w:val="single" w:color="auto" w:sz="8" w:space="0"/>
              <w:left w:val="none" w:color="000000" w:sz="4" w:space="0"/>
              <w:bottom w:val="single" w:color="auto" w:sz="8" w:space="0"/>
              <w:right w:val="single" w:color="auto" w:sz="4" w:space="0"/>
            </w:tcBorders>
            <w:tcW w:w="2126" w:type="dxa"/>
            <w:vAlign w:val="center"/>
            <w:textDirection w:val="lrTb"/>
            <w:noWrap w:val="false"/>
          </w:tcPr>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послуга</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ЯКІСНІ ТА ІНШІ ВИМОГИ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Технічне обслуговування виконується згідно п. 2.4. та 11.3 додатку Ж ДБН В.2.5-56:2014 «Системи протипожежного захисту», ДСТУ-Н </w:t>
      </w:r>
      <w:r>
        <w:rPr>
          <w:rFonts w:ascii="Times New Roman" w:hAnsi="Times New Roman" w:cs="Times New Roman"/>
          <w:sz w:val="24"/>
          <w:szCs w:val="24"/>
          <w:lang w:val="en-US"/>
        </w:rPr>
        <w:t xml:space="preserve">CEN</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TS</w:t>
      </w:r>
      <w:r>
        <w:rPr>
          <w:rFonts w:ascii="Times New Roman" w:hAnsi="Times New Roman" w:cs="Times New Roman"/>
          <w:sz w:val="24"/>
          <w:szCs w:val="24"/>
        </w:rPr>
        <w:t xml:space="preserve"> 54-14:2021 «Системи пожежної сигналізації та </w:t>
      </w:r>
      <w:r>
        <w:rPr>
          <w:rFonts w:ascii="Times New Roman" w:hAnsi="Times New Roman" w:cs="Times New Roman"/>
          <w:sz w:val="24"/>
          <w:szCs w:val="24"/>
        </w:rPr>
        <w:t xml:space="preserve">оповіщування</w:t>
      </w:r>
      <w:r>
        <w:rPr>
          <w:rFonts w:ascii="Times New Roman" w:hAnsi="Times New Roman" w:cs="Times New Roman"/>
          <w:sz w:val="24"/>
          <w:szCs w:val="24"/>
        </w:rPr>
        <w:t xml:space="preserve">. Частина 14. Настанови щодо побудови, проектування, монтування, введення в експлуатацію, експлуатування і технічного обслуговування».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Усі пристрої </w:t>
      </w:r>
      <w:r>
        <w:rPr>
          <w:rFonts w:ascii="Times New Roman" w:hAnsi="Times New Roman" w:cs="Times New Roman"/>
          <w:sz w:val="24"/>
          <w:szCs w:val="24"/>
        </w:rPr>
        <w:t xml:space="preserve">автоматичної пожежної сигналізації мають бути справними і утримуватися у постійній готовності до виконання роботи. Несправності, які впливають на їх працездатність, повинні усуватися негайно, інші несправності усуваються у передбачені регламентом терміни.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Виконавець веде журнали обліку технічного обслуговування і ремонту (пл</w:t>
      </w:r>
      <w:r>
        <w:rPr>
          <w:rFonts w:ascii="Times New Roman" w:hAnsi="Times New Roman" w:cs="Times New Roman"/>
          <w:sz w:val="24"/>
          <w:szCs w:val="24"/>
        </w:rPr>
        <w:t xml:space="preserve">анового та позапланового). На вимогу Замовника ці журнали Виконавець надає для перевірки Замовнику. Після закінчення терміну дії Договору на послуги з технічного обслуговування пристроїв автоматичної пожежної сигналізації всі журнали передаються Замовнику.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Технічне обслуговування пристроїв виконується у відповідності до розроблених Виконавцем графіків, згідно вимог ДБН В.2.5-56:2014 «Системи протипожежного захисту».</w:t>
      </w:r>
      <w:r/>
    </w:p>
    <w:p>
      <w:pPr>
        <w:ind w:firstLine="708"/>
        <w:jc w:val="both"/>
        <w:spacing w:after="0" w:line="240" w:lineRule="auto"/>
        <w:rPr>
          <w:rFonts w:ascii="Times New Roman" w:hAnsi="Times New Roman" w:cs="Times New Roman"/>
          <w:iCs/>
          <w:sz w:val="24"/>
          <w:szCs w:val="24"/>
          <w:lang w:eastAsia="ar-SA"/>
        </w:rPr>
      </w:pPr>
      <w:r>
        <w:rPr>
          <w:rFonts w:ascii="Times New Roman" w:hAnsi="Times New Roman" w:cs="Times New Roman"/>
          <w:iCs/>
          <w:sz w:val="24"/>
          <w:szCs w:val="24"/>
          <w:lang w:eastAsia="ar-SA"/>
        </w:rPr>
        <w:t xml:space="preserve">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проведенні монтажних робіт/послуг буде утворюватися значна кількість шкідливих чинників на працівників: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вміст різних видів пилу, зокрема пилу цементу, вапна, гіпсу тощо у повітрі робочої зони при виконанні монтажних робіт (свердління);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вміст шкідливих хімічних речовин у повітрі робочої зони (робота з лаками, фарбами, монтажною піною тощо);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вплив шуму (не постійний, імпульсний), інфразвуку під час виконання монтажних робіт (свердління);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важкість праці, що зумовлена такими параметрами: фізичне навантаження (статичне, динамічне),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піднімання та перенесення обладнання, їх монтаж тощо;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незручна, вимушена робоча поза; нахили тулуба; (перебування тривалий час в одному положенні на висоті);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Задля мінімізації вищеза</w:t>
      </w:r>
      <w:r>
        <w:rPr>
          <w:rFonts w:ascii="Times New Roman" w:hAnsi="Times New Roman" w:cs="Times New Roman"/>
          <w:sz w:val="24"/>
          <w:szCs w:val="24"/>
        </w:rPr>
        <w:t xml:space="preserve">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w:t>
      </w:r>
      <w:r>
        <w:rPr>
          <w:rFonts w:ascii="Times New Roman" w:hAnsi="Times New Roman" w:cs="Times New Roman"/>
          <w:sz w:val="24"/>
          <w:szCs w:val="24"/>
        </w:rPr>
        <w:t xml:space="preserve">беруші</w:t>
      </w:r>
      <w:r>
        <w:rPr>
          <w:rFonts w:ascii="Times New Roman" w:hAnsi="Times New Roman" w:cs="Times New Roman"/>
          <w:sz w:val="24"/>
          <w:szCs w:val="24"/>
        </w:rPr>
        <w:t xml:space="preserve"> та інші необхідні захисні засоби).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проведення технічного обслуговування.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проведенні технічного обслуговування необхідно виконувати наступні регламенти: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Регламент 1 раз на місяць, перелік послуг, періодичність обслуговування: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Зовнішній огляд пристроїв протипожежного устаткування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Ревізійний огляд блоків живлення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 1 раз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Перевірка працездатності органів керування (тестування програмного забезпечення)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Перевірка лінійної частини шлейфа 1 раз на 3 місяці.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Перевірка працездатності променів пожежної сигналізації 1 раз  на 3 місяці.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Перевірка працездатності сповіщувачів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Перевірка спрацьовування приладів приймально-контрольних пожежних при обриві і короткому замиканні </w:t>
      </w:r>
      <w:r>
        <w:rPr>
          <w:rFonts w:ascii="Times New Roman" w:hAnsi="Times New Roman" w:cs="Times New Roman"/>
          <w:sz w:val="24"/>
          <w:szCs w:val="24"/>
        </w:rPr>
        <w:t xml:space="preserve">променя</w:t>
      </w:r>
      <w:r>
        <w:rPr>
          <w:rFonts w:ascii="Times New Roman" w:hAnsi="Times New Roman" w:cs="Times New Roman"/>
          <w:sz w:val="24"/>
          <w:szCs w:val="24"/>
        </w:rPr>
        <w:t xml:space="preserve">, моноблоку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Перевірка напруги в променях пожежної сигналізації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Перевірка виносних сигналів тривоги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 1 раз на місяць.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Контроль основного і резервного джерела живлення і перевірка автоматичного перемикання живлення з робочого вводу на резервний 1 раз на місяць.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Регламент 2 рази на рік, перелік послуг, періодичність: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Перевірка та тестування модулів розширення провідних зон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Чищення від пилу димових сповіщувачів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Перевірка заземлення джерел живлення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Вимір параметрів лінійних проводів сполучних ліній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Вимір параметрів лінійних проводів шлейфа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Контроль спрацювання світлозвукових пристроїв (СЗУ), табло, динаміків у приміщеннях </w:t>
      </w:r>
      <w:r>
        <w:rPr>
          <w:rFonts w:ascii="Times New Roman" w:hAnsi="Times New Roman" w:cs="Times New Roman"/>
          <w:sz w:val="24"/>
          <w:szCs w:val="24"/>
        </w:rPr>
        <w:t xml:space="preserve">захищуваного</w:t>
      </w:r>
      <w:r>
        <w:rPr>
          <w:rFonts w:ascii="Times New Roman" w:hAnsi="Times New Roman" w:cs="Times New Roman"/>
          <w:sz w:val="24"/>
          <w:szCs w:val="24"/>
        </w:rPr>
        <w:t xml:space="preserve"> об’єкта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Перевірка надійності з’єднання всіх доступних випадковому доторканню металевих не струмопровідних частин ППКП з його </w:t>
      </w:r>
      <w:r>
        <w:rPr>
          <w:rFonts w:ascii="Times New Roman" w:hAnsi="Times New Roman" w:cs="Times New Roman"/>
          <w:sz w:val="24"/>
          <w:szCs w:val="24"/>
        </w:rPr>
        <w:t xml:space="preserve">зажимом</w:t>
      </w:r>
      <w:r>
        <w:rPr>
          <w:rFonts w:ascii="Times New Roman" w:hAnsi="Times New Roman" w:cs="Times New Roman"/>
          <w:sz w:val="24"/>
          <w:szCs w:val="24"/>
        </w:rPr>
        <w:t xml:space="preserve"> «заземлення», а також вимірювання значення опору між сказаними частинами та </w:t>
      </w:r>
      <w:r>
        <w:rPr>
          <w:rFonts w:ascii="Times New Roman" w:hAnsi="Times New Roman" w:cs="Times New Roman"/>
          <w:sz w:val="24"/>
          <w:szCs w:val="24"/>
        </w:rPr>
        <w:t xml:space="preserve">зажимом</w:t>
      </w:r>
      <w:r>
        <w:rPr>
          <w:rFonts w:ascii="Times New Roman" w:hAnsi="Times New Roman" w:cs="Times New Roman"/>
          <w:sz w:val="24"/>
          <w:szCs w:val="24"/>
        </w:rPr>
        <w:t xml:space="preserve"> «заземлення» на відповідність технічних умов на даний прилад 2 рази на рік.</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технічному обслуговуванні приладів приймально-контрольних пожежних (ППКП) щомісячно необхідно перевіряти:</w:t>
      </w:r>
      <w:r/>
    </w:p>
    <w:p>
      <w:pPr>
        <w:pStyle w:val="728"/>
        <w:numPr>
          <w:ilvl w:val="0"/>
          <w:numId w:val="39"/>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номінальні</w:t>
      </w:r>
      <w:r>
        <w:rPr>
          <w:rFonts w:ascii="Times New Roman" w:hAnsi="Times New Roman" w:cs="Times New Roman"/>
          <w:sz w:val="24"/>
          <w:szCs w:val="24"/>
        </w:rPr>
        <w:t xml:space="preserve"> </w:t>
      </w:r>
      <w:r>
        <w:rPr>
          <w:rFonts w:ascii="Times New Roman" w:hAnsi="Times New Roman" w:cs="Times New Roman"/>
          <w:sz w:val="24"/>
          <w:szCs w:val="24"/>
        </w:rPr>
        <w:t xml:space="preserve">значення</w:t>
      </w:r>
      <w:r>
        <w:rPr>
          <w:rFonts w:ascii="Times New Roman" w:hAnsi="Times New Roman" w:cs="Times New Roman"/>
          <w:sz w:val="24"/>
          <w:szCs w:val="24"/>
        </w:rPr>
        <w:t xml:space="preserve"> </w:t>
      </w:r>
      <w:r>
        <w:rPr>
          <w:rFonts w:ascii="Times New Roman" w:hAnsi="Times New Roman" w:cs="Times New Roman"/>
          <w:sz w:val="24"/>
          <w:szCs w:val="24"/>
        </w:rPr>
        <w:t xml:space="preserve">напруги</w:t>
      </w:r>
      <w:r>
        <w:rPr>
          <w:rFonts w:ascii="Times New Roman" w:hAnsi="Times New Roman" w:cs="Times New Roman"/>
          <w:sz w:val="24"/>
          <w:szCs w:val="24"/>
        </w:rPr>
        <w:t xml:space="preserve"> в </w:t>
      </w:r>
      <w:r>
        <w:rPr>
          <w:rFonts w:ascii="Times New Roman" w:hAnsi="Times New Roman" w:cs="Times New Roman"/>
          <w:sz w:val="24"/>
          <w:szCs w:val="24"/>
        </w:rPr>
        <w:t xml:space="preserve">електричних</w:t>
      </w:r>
      <w:r>
        <w:rPr>
          <w:rFonts w:ascii="Times New Roman" w:hAnsi="Times New Roman" w:cs="Times New Roman"/>
          <w:sz w:val="24"/>
          <w:szCs w:val="24"/>
        </w:rPr>
        <w:t xml:space="preserve"> мережах основного і резервного </w:t>
      </w:r>
      <w:r>
        <w:rPr>
          <w:rFonts w:ascii="Times New Roman" w:hAnsi="Times New Roman" w:cs="Times New Roman"/>
          <w:sz w:val="24"/>
          <w:szCs w:val="24"/>
        </w:rPr>
        <w:t xml:space="preserve">джерел</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а </w:t>
      </w:r>
      <w:r>
        <w:rPr>
          <w:rFonts w:ascii="Times New Roman" w:hAnsi="Times New Roman" w:cs="Times New Roman"/>
          <w:sz w:val="24"/>
          <w:szCs w:val="24"/>
        </w:rPr>
        <w:t xml:space="preserve">також</w:t>
      </w:r>
      <w:r>
        <w:rPr>
          <w:rFonts w:ascii="Times New Roman" w:hAnsi="Times New Roman" w:cs="Times New Roman"/>
          <w:sz w:val="24"/>
          <w:szCs w:val="24"/>
        </w:rPr>
        <w:t xml:space="preserve"> </w:t>
      </w:r>
      <w:r>
        <w:rPr>
          <w:rFonts w:ascii="Times New Roman" w:hAnsi="Times New Roman" w:cs="Times New Roman"/>
          <w:sz w:val="24"/>
          <w:szCs w:val="24"/>
        </w:rPr>
        <w:t xml:space="preserve">у шлейфах</w:t>
      </w:r>
      <w:r>
        <w:rPr>
          <w:rFonts w:ascii="Times New Roman" w:hAnsi="Times New Roman" w:cs="Times New Roman"/>
          <w:sz w:val="24"/>
          <w:szCs w:val="24"/>
        </w:rPr>
        <w:t xml:space="preserve"> </w:t>
      </w:r>
      <w:r>
        <w:rPr>
          <w:rFonts w:ascii="Times New Roman" w:hAnsi="Times New Roman" w:cs="Times New Roman"/>
          <w:sz w:val="24"/>
          <w:szCs w:val="24"/>
        </w:rPr>
        <w:t xml:space="preserve">сигналізації</w:t>
      </w:r>
      <w:r>
        <w:rPr>
          <w:rFonts w:ascii="Times New Roman" w:hAnsi="Times New Roman" w:cs="Times New Roman"/>
          <w:sz w:val="24"/>
          <w:szCs w:val="24"/>
        </w:rPr>
        <w:t xml:space="preserve">;</w:t>
      </w:r>
      <w:r/>
    </w:p>
    <w:p>
      <w:pPr>
        <w:pStyle w:val="728"/>
        <w:numPr>
          <w:ilvl w:val="0"/>
          <w:numId w:val="39"/>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автоматичне</w:t>
      </w:r>
      <w:r>
        <w:rPr>
          <w:rFonts w:ascii="Times New Roman" w:hAnsi="Times New Roman" w:cs="Times New Roman"/>
          <w:sz w:val="24"/>
          <w:szCs w:val="24"/>
        </w:rPr>
        <w:t xml:space="preserve"> </w:t>
      </w:r>
      <w:r>
        <w:rPr>
          <w:rFonts w:ascii="Times New Roman" w:hAnsi="Times New Roman" w:cs="Times New Roman"/>
          <w:sz w:val="24"/>
          <w:szCs w:val="24"/>
        </w:rPr>
        <w:t xml:space="preserve">вмикання</w:t>
      </w:r>
      <w:r>
        <w:rPr>
          <w:rFonts w:ascii="Times New Roman" w:hAnsi="Times New Roman" w:cs="Times New Roman"/>
          <w:sz w:val="24"/>
          <w:szCs w:val="24"/>
        </w:rPr>
        <w:t xml:space="preserve"> резервного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ППКП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зникнення</w:t>
      </w:r>
      <w:r>
        <w:rPr>
          <w:rFonts w:ascii="Times New Roman" w:hAnsi="Times New Roman" w:cs="Times New Roman"/>
          <w:sz w:val="24"/>
          <w:szCs w:val="24"/>
        </w:rPr>
        <w:t xml:space="preserve"> основного;</w:t>
      </w:r>
      <w:r/>
    </w:p>
    <w:p>
      <w:pPr>
        <w:pStyle w:val="728"/>
        <w:numPr>
          <w:ilvl w:val="0"/>
          <w:numId w:val="39"/>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працездатність</w:t>
      </w:r>
      <w:r>
        <w:rPr>
          <w:rFonts w:ascii="Times New Roman" w:hAnsi="Times New Roman" w:cs="Times New Roman"/>
          <w:sz w:val="24"/>
          <w:szCs w:val="24"/>
        </w:rPr>
        <w:t xml:space="preserve"> ППКП </w:t>
      </w:r>
      <w:r>
        <w:rPr>
          <w:rFonts w:ascii="Times New Roman" w:hAnsi="Times New Roman" w:cs="Times New Roman"/>
          <w:sz w:val="24"/>
          <w:szCs w:val="24"/>
        </w:rPr>
        <w:t xml:space="preserve">у режимах</w:t>
      </w:r>
      <w:r>
        <w:rPr>
          <w:rFonts w:ascii="Times New Roman" w:hAnsi="Times New Roman" w:cs="Times New Roman"/>
          <w:sz w:val="24"/>
          <w:szCs w:val="24"/>
        </w:rPr>
        <w:t xml:space="preserve"> «</w:t>
      </w:r>
      <w:r>
        <w:rPr>
          <w:rFonts w:ascii="Times New Roman" w:hAnsi="Times New Roman" w:cs="Times New Roman"/>
          <w:sz w:val="24"/>
          <w:szCs w:val="24"/>
        </w:rPr>
        <w:t xml:space="preserve">Пожежа</w:t>
      </w:r>
      <w:r>
        <w:rPr>
          <w:rFonts w:ascii="Times New Roman" w:hAnsi="Times New Roman" w:cs="Times New Roman"/>
          <w:sz w:val="24"/>
          <w:szCs w:val="24"/>
        </w:rPr>
        <w:t xml:space="preserve">» та «</w:t>
      </w:r>
      <w:r>
        <w:rPr>
          <w:rFonts w:ascii="Times New Roman" w:hAnsi="Times New Roman" w:cs="Times New Roman"/>
          <w:sz w:val="24"/>
          <w:szCs w:val="24"/>
        </w:rPr>
        <w:t xml:space="preserve">Несправність</w:t>
      </w:r>
      <w:r>
        <w:rPr>
          <w:rFonts w:ascii="Times New Roman" w:hAnsi="Times New Roman" w:cs="Times New Roman"/>
          <w:sz w:val="24"/>
          <w:szCs w:val="24"/>
        </w:rPr>
        <w:t xml:space="preserve">» шляхом </w:t>
      </w:r>
      <w:r>
        <w:rPr>
          <w:rFonts w:ascii="Times New Roman" w:hAnsi="Times New Roman" w:cs="Times New Roman"/>
          <w:sz w:val="24"/>
          <w:szCs w:val="24"/>
        </w:rPr>
        <w:t xml:space="preserve">імітації</w:t>
      </w:r>
      <w:r>
        <w:rPr>
          <w:rFonts w:ascii="Times New Roman" w:hAnsi="Times New Roman" w:cs="Times New Roman"/>
          <w:sz w:val="24"/>
          <w:szCs w:val="24"/>
        </w:rPr>
        <w:t xml:space="preserve"> </w:t>
      </w:r>
      <w:r>
        <w:rPr>
          <w:rFonts w:ascii="Times New Roman" w:hAnsi="Times New Roman" w:cs="Times New Roman"/>
          <w:sz w:val="24"/>
          <w:szCs w:val="24"/>
        </w:rPr>
        <w:t xml:space="preserve">спрацьовування</w:t>
      </w:r>
      <w:r>
        <w:rPr>
          <w:rFonts w:ascii="Times New Roman" w:hAnsi="Times New Roman" w:cs="Times New Roman"/>
          <w:sz w:val="24"/>
          <w:szCs w:val="24"/>
        </w:rPr>
        <w:t xml:space="preserve"> </w:t>
      </w:r>
      <w:r>
        <w:rPr>
          <w:rFonts w:ascii="Times New Roman" w:hAnsi="Times New Roman" w:cs="Times New Roman"/>
          <w:sz w:val="24"/>
          <w:szCs w:val="24"/>
        </w:rPr>
        <w:t xml:space="preserve">сповіщувачів</w:t>
      </w:r>
      <w:r>
        <w:rPr>
          <w:rFonts w:ascii="Times New Roman" w:hAnsi="Times New Roman" w:cs="Times New Roman"/>
          <w:sz w:val="24"/>
          <w:szCs w:val="24"/>
        </w:rPr>
        <w:t xml:space="preserve"> та </w:t>
      </w:r>
      <w:r>
        <w:rPr>
          <w:rFonts w:ascii="Times New Roman" w:hAnsi="Times New Roman" w:cs="Times New Roman"/>
          <w:sz w:val="24"/>
          <w:szCs w:val="24"/>
        </w:rPr>
        <w:t xml:space="preserve">порушень</w:t>
      </w:r>
      <w:r>
        <w:rPr>
          <w:rFonts w:ascii="Times New Roman" w:hAnsi="Times New Roman" w:cs="Times New Roman"/>
          <w:sz w:val="24"/>
          <w:szCs w:val="24"/>
        </w:rPr>
        <w:t xml:space="preserve"> </w:t>
      </w:r>
      <w:r>
        <w:rPr>
          <w:rFonts w:ascii="Times New Roman" w:hAnsi="Times New Roman" w:cs="Times New Roman"/>
          <w:sz w:val="24"/>
          <w:szCs w:val="24"/>
        </w:rPr>
        <w:t xml:space="preserve">шлейфів</w:t>
      </w:r>
      <w:r>
        <w:rPr>
          <w:rFonts w:ascii="Times New Roman" w:hAnsi="Times New Roman" w:cs="Times New Roman"/>
          <w:sz w:val="24"/>
          <w:szCs w:val="24"/>
        </w:rPr>
        <w:t xml:space="preserve"> </w:t>
      </w:r>
      <w:r>
        <w:rPr>
          <w:rFonts w:ascii="Times New Roman" w:hAnsi="Times New Roman" w:cs="Times New Roman"/>
          <w:sz w:val="24"/>
          <w:szCs w:val="24"/>
        </w:rPr>
        <w:t xml:space="preserve">сигналізації</w:t>
      </w:r>
      <w:r>
        <w:rPr>
          <w:rFonts w:ascii="Times New Roman" w:hAnsi="Times New Roman" w:cs="Times New Roman"/>
          <w:sz w:val="24"/>
          <w:szCs w:val="24"/>
        </w:rPr>
        <w:t xml:space="preserve">. При </w:t>
      </w:r>
      <w:r>
        <w:rPr>
          <w:rFonts w:ascii="Times New Roman" w:hAnsi="Times New Roman" w:cs="Times New Roman"/>
          <w:sz w:val="24"/>
          <w:szCs w:val="24"/>
        </w:rPr>
        <w:t xml:space="preserve">цьому</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необхідно</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контролювати</w:t>
      </w:r>
      <w:r>
        <w:rPr>
          <w:rFonts w:ascii="Times New Roman" w:hAnsi="Times New Roman" w:cs="Times New Roman"/>
          <w:sz w:val="24"/>
          <w:szCs w:val="24"/>
        </w:rPr>
        <w:t xml:space="preserve"> </w:t>
      </w:r>
      <w:r>
        <w:rPr>
          <w:rFonts w:ascii="Times New Roman" w:hAnsi="Times New Roman" w:cs="Times New Roman"/>
          <w:sz w:val="24"/>
          <w:szCs w:val="24"/>
        </w:rPr>
        <w:t xml:space="preserve">спрацьовування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виносних</w:t>
      </w:r>
      <w:r>
        <w:rPr>
          <w:rFonts w:ascii="Times New Roman" w:hAnsi="Times New Roman" w:cs="Times New Roman"/>
          <w:sz w:val="24"/>
          <w:szCs w:val="24"/>
        </w:rPr>
        <w:t xml:space="preserve"> </w:t>
      </w:r>
      <w:r>
        <w:rPr>
          <w:rFonts w:ascii="Times New Roman" w:hAnsi="Times New Roman" w:cs="Times New Roman"/>
          <w:sz w:val="24"/>
          <w:szCs w:val="24"/>
        </w:rPr>
        <w:t xml:space="preserve">світлових</w:t>
      </w:r>
      <w:r>
        <w:rPr>
          <w:rFonts w:ascii="Times New Roman" w:hAnsi="Times New Roman" w:cs="Times New Roman"/>
          <w:sz w:val="24"/>
          <w:szCs w:val="24"/>
        </w:rPr>
        <w:t xml:space="preserve"> та </w:t>
      </w:r>
      <w:r>
        <w:rPr>
          <w:rFonts w:ascii="Times New Roman" w:hAnsi="Times New Roman" w:cs="Times New Roman"/>
          <w:sz w:val="24"/>
          <w:szCs w:val="24"/>
        </w:rPr>
        <w:t xml:space="preserve">звукових</w:t>
      </w:r>
      <w:r>
        <w:rPr>
          <w:rFonts w:ascii="Times New Roman" w:hAnsi="Times New Roman" w:cs="Times New Roman"/>
          <w:sz w:val="24"/>
          <w:szCs w:val="24"/>
        </w:rPr>
        <w:t xml:space="preserve"> </w:t>
      </w:r>
      <w:r>
        <w:rPr>
          <w:rFonts w:ascii="Times New Roman" w:hAnsi="Times New Roman" w:cs="Times New Roman"/>
          <w:sz w:val="24"/>
          <w:szCs w:val="24"/>
        </w:rPr>
        <w:t xml:space="preserve">індикаторів</w:t>
      </w:r>
      <w:r>
        <w:rPr>
          <w:rFonts w:ascii="Times New Roman" w:hAnsi="Times New Roman" w:cs="Times New Roman"/>
          <w:sz w:val="24"/>
          <w:szCs w:val="24"/>
        </w:rPr>
        <w:t xml:space="preserve">. </w:t>
      </w:r>
      <w:r/>
    </w:p>
    <w:p>
      <w:pPr>
        <w:ind w:left="36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Спрацьовування якого імітувалось.</w:t>
      </w:r>
      <w:r/>
    </w:p>
    <w:p>
      <w:pPr>
        <w:ind w:left="360"/>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142" w:right="-1"/>
        <w:jc w:val="both"/>
        <w:spacing w:after="0" w:line="240" w:lineRule="auto"/>
        <w:tabs>
          <w:tab w:val="num" w:pos="1440" w:leader="none"/>
        </w:tabs>
        <w:rPr>
          <w:rFonts w:ascii="Times New Roman" w:hAnsi="Times New Roman" w:cs="Times New Roman"/>
          <w:b/>
          <w:sz w:val="24"/>
          <w:szCs w:val="24"/>
          <w:u w:val="single"/>
        </w:rPr>
      </w:pPr>
      <w:r>
        <w:rPr>
          <w:rFonts w:ascii="Times New Roman" w:hAnsi="Times New Roman" w:cs="Times New Roman"/>
          <w:b/>
          <w:sz w:val="24"/>
          <w:szCs w:val="24"/>
          <w:u w:val="single"/>
        </w:rPr>
        <w:t xml:space="preserve">Інші вимоги до документів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 (надати скановані копії):</w:t>
      </w:r>
      <w:r/>
    </w:p>
    <w:p>
      <w:pPr>
        <w:ind w:firstLine="709"/>
        <w:jc w:val="both"/>
        <w:spacing w:after="0" w:line="240" w:lineRule="auto"/>
        <w:tabs>
          <w:tab w:val="left" w:pos="679" w:leader="none"/>
        </w:tabs>
        <w:rPr>
          <w:rFonts w:ascii="Times New Roman" w:hAnsi="Times New Roman" w:cs="Times New Roman"/>
          <w:sz w:val="24"/>
          <w:szCs w:val="24"/>
        </w:rPr>
      </w:pPr>
      <w:r>
        <w:rPr>
          <w:rFonts w:ascii="Times New Roman" w:hAnsi="Times New Roman" w:cs="Times New Roman"/>
          <w:sz w:val="24"/>
          <w:szCs w:val="24"/>
        </w:rPr>
        <w:t xml:space="preserve">1. Сертифікат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ISO 9001:2018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9001:2015 Системи управління якістю. Вимоги)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r/>
    </w:p>
    <w:p>
      <w:pPr>
        <w:ind w:firstLine="709"/>
        <w:jc w:val="both"/>
        <w:spacing w:after="0" w:line="240" w:lineRule="auto"/>
        <w:tabs>
          <w:tab w:val="left" w:pos="679" w:leader="none"/>
        </w:tabs>
        <w:rPr>
          <w:rFonts w:ascii="Times New Roman" w:hAnsi="Times New Roman" w:cs="Times New Roman"/>
          <w:sz w:val="24"/>
          <w:szCs w:val="24"/>
        </w:rPr>
      </w:pPr>
      <w:r>
        <w:rPr>
          <w:rFonts w:ascii="Times New Roman" w:hAnsi="Times New Roman" w:cs="Times New Roman"/>
          <w:sz w:val="24"/>
          <w:szCs w:val="24"/>
        </w:rPr>
        <w:t xml:space="preserve">2. Сертифікат ДСТУ ISO 14001:2015 «Системи еколог</w:t>
      </w:r>
      <w:r>
        <w:rPr>
          <w:rFonts w:ascii="Times New Roman" w:hAnsi="Times New Roman" w:cs="Times New Roman"/>
          <w:sz w:val="24"/>
          <w:szCs w:val="24"/>
        </w:rPr>
        <w:t xml:space="preserve">ічного управління. Вимоги та настанови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 </w:t>
      </w:r>
      <w:r/>
    </w:p>
    <w:p>
      <w:pPr>
        <w:ind w:firstLine="709"/>
        <w:jc w:val="both"/>
        <w:spacing w:after="0" w:line="240" w:lineRule="auto"/>
        <w:tabs>
          <w:tab w:val="left" w:pos="679" w:leader="none"/>
        </w:tabs>
        <w:rPr>
          <w:rFonts w:ascii="Times New Roman" w:hAnsi="Times New Roman" w:cs="Times New Roman"/>
          <w:sz w:val="24"/>
          <w:szCs w:val="24"/>
        </w:rPr>
      </w:pPr>
      <w:r>
        <w:rPr>
          <w:rFonts w:ascii="Times New Roman" w:hAnsi="Times New Roman" w:cs="Times New Roman"/>
          <w:sz w:val="24"/>
          <w:szCs w:val="24"/>
        </w:rPr>
        <w:t xml:space="preserve">3. На підтвердження відповідності запропонованих учасником послуг учасник у складі пропозиції надає гарантійний лист </w:t>
      </w:r>
      <w:r>
        <w:rPr>
          <w:rFonts w:ascii="Times New Roman" w:hAnsi="Times New Roman" w:cs="Times New Roman"/>
          <w:bCs/>
          <w:sz w:val="24"/>
          <w:szCs w:val="24"/>
        </w:rPr>
        <w:t xml:space="preserve">про</w:t>
      </w:r>
      <w:r>
        <w:rPr>
          <w:rFonts w:ascii="Times New Roman" w:hAnsi="Times New Roman" w:cs="Times New Roman"/>
          <w:sz w:val="24"/>
          <w:szCs w:val="24"/>
        </w:rPr>
        <w:t xml:space="preserve">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w:t>
      </w:r>
      <w:r>
        <w:rPr>
          <w:rFonts w:ascii="Times New Roman" w:hAnsi="Times New Roman" w:cs="Times New Roman"/>
          <w:sz w:val="24"/>
          <w:szCs w:val="24"/>
          <w:shd w:val="clear" w:color="auto" w:fill="ffffff"/>
        </w:rPr>
        <w:t xml:space="preserve"> безпеку працівників, що не впливає на їх </w:t>
      </w:r>
      <w:r>
        <w:rPr>
          <w:rFonts w:ascii="Times New Roman" w:hAnsi="Times New Roman" w:cs="Times New Roman"/>
          <w:sz w:val="24"/>
          <w:szCs w:val="24"/>
          <w:shd w:val="clear" w:color="auto" w:fill="ffffff"/>
        </w:rPr>
        <w:t xml:space="preserve">здоров՚я</w:t>
      </w:r>
      <w:r>
        <w:rPr>
          <w:rFonts w:ascii="Times New Roman" w:hAnsi="Times New Roman" w:cs="Times New Roman"/>
          <w:sz w:val="24"/>
          <w:szCs w:val="24"/>
          <w:shd w:val="clear" w:color="auto" w:fill="ffffff"/>
        </w:rPr>
        <w:t xml:space="preserve"> та забезпечити здорові умови праці</w:t>
      </w:r>
      <w:r>
        <w:rPr>
          <w:rFonts w:ascii="Times New Roman" w:hAnsi="Times New Roman" w:cs="Times New Roman"/>
          <w:sz w:val="24"/>
          <w:szCs w:val="24"/>
        </w:rPr>
        <w:t xml:space="preserve">, на підтвердження надати Сертифікат ДСТУ ISO 45001:2019 (ISO 45001:2018,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«Системи управління охороною </w:t>
      </w:r>
      <w:r>
        <w:rPr>
          <w:rFonts w:ascii="Times New Roman" w:hAnsi="Times New Roman" w:cs="Times New Roman"/>
          <w:sz w:val="24"/>
          <w:szCs w:val="24"/>
        </w:rPr>
        <w:t xml:space="preserve">здоров՚я</w:t>
      </w:r>
      <w:r>
        <w:rPr>
          <w:rFonts w:ascii="Times New Roman" w:hAnsi="Times New Roman" w:cs="Times New Roman"/>
          <w:sz w:val="24"/>
          <w:szCs w:val="24"/>
        </w:rPr>
        <w:t xml:space="preserve"> та безпекою праці. Вимоги та настанови щодо </w:t>
      </w:r>
      <w:r>
        <w:rPr>
          <w:rFonts w:ascii="Times New Roman" w:hAnsi="Times New Roman" w:cs="Times New Roman"/>
          <w:sz w:val="24"/>
          <w:szCs w:val="24"/>
        </w:rPr>
        <w:t xml:space="preserve">зпстосування</w:t>
      </w:r>
      <w:r>
        <w:rPr>
          <w:rFonts w:ascii="Times New Roman" w:hAnsi="Times New Roman" w:cs="Times New Roman"/>
          <w:sz w:val="24"/>
          <w:szCs w:val="24"/>
        </w:rPr>
        <w:t xml:space="preserve">»),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r/>
    </w:p>
    <w:p>
      <w:pPr>
        <w:ind w:right="-1" w:firstLine="709"/>
        <w:jc w:val="both"/>
        <w:spacing w:after="0" w:line="240" w:lineRule="auto"/>
        <w:tabs>
          <w:tab w:val="num" w:pos="709" w:leader="none"/>
        </w:tabs>
        <w:rPr>
          <w:rFonts w:ascii="Times New Roman" w:hAnsi="Times New Roman" w:cs="Times New Roman"/>
          <w:sz w:val="24"/>
          <w:szCs w:val="24"/>
        </w:rPr>
      </w:pPr>
      <w:r>
        <w:rPr>
          <w:rFonts w:ascii="Times New Roman" w:hAnsi="Times New Roman" w:cs="Times New Roman"/>
          <w:sz w:val="24"/>
          <w:szCs w:val="24"/>
        </w:rPr>
        <w:t xml:space="preserve">4. Сертифікат ДСТУ ISO 16732-1:2018 (ISO 16732-1:2012,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разом зі звітом аудиту, який підтверджує первинну сертифікацію або продовження дії сертифікату, виданий органом сертифікації.</w:t>
      </w:r>
      <w:r/>
    </w:p>
    <w:p>
      <w:pPr>
        <w:ind w:right="-1" w:firstLine="709"/>
        <w:jc w:val="both"/>
        <w:spacing w:after="0" w:line="240" w:lineRule="auto"/>
        <w:tabs>
          <w:tab w:val="num" w:pos="709" w:leader="none"/>
        </w:tabs>
        <w:rPr>
          <w:rFonts w:ascii="Times New Roman" w:hAnsi="Times New Roman" w:cs="Times New Roman"/>
          <w:sz w:val="24"/>
          <w:szCs w:val="24"/>
        </w:rPr>
      </w:pPr>
      <w:r>
        <w:rPr>
          <w:rFonts w:ascii="Times New Roman" w:hAnsi="Times New Roman" w:cs="Times New Roman"/>
          <w:sz w:val="24"/>
          <w:szCs w:val="24"/>
        </w:rPr>
        <w:t xml:space="preserve">5. Сертифікат ДСТУ ISO 10005:2019 (ISO 10005:2018,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виданий органом сертифікації.</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ind w:firstLine="34"/>
        <w:jc w:val="both"/>
        <w:spacing w:after="0" w:line="240" w:lineRule="auto"/>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 xml:space="preserve">Учаснику пропонується відвідати об’єкт предмету закупівлі з метою розуміння обсягів робіт та матеріалів згідно предмету закупівлі.</w:t>
      </w:r>
      <w:r/>
    </w:p>
    <w:p>
      <w:pPr>
        <w:pStyle w:val="732"/>
        <w:ind w:firstLine="34"/>
        <w:jc w:val="both"/>
        <w:spacing w:after="0" w:line="240" w:lineRule="auto"/>
        <w:rPr>
          <w:b/>
          <w:bCs/>
          <w:i/>
          <w:iCs/>
          <w:color w:val="000000"/>
        </w:rPr>
      </w:pPr>
      <w:r>
        <w:rPr>
          <w:b/>
          <w:bCs/>
          <w:i/>
          <w:iCs/>
          <w:color w:val="000000"/>
        </w:rPr>
        <w:t xml:space="preserve">Дана можливість дозволяє Учаснику максимально точно скласти свою цінову пропозицію і не допустити в подальшому її</w:t>
      </w:r>
      <w:r>
        <w:rPr>
          <w:b/>
          <w:bCs/>
          <w:i/>
          <w:iCs/>
          <w:color w:val="000000"/>
        </w:rPr>
        <w:t xml:space="preserve"> безпідставного корегування вартості послуг, що безумовно відповідає принципу максимальної економії та ефективності, закріпленому в п.2 ч.1 ст.5 Закону України «Про публічні закупівлі», а також допоможе реально оцінити можливості Учасника під час аукціону.</w:t>
      </w:r>
      <w:r/>
    </w:p>
    <w:p>
      <w:pPr>
        <w:pStyle w:val="732"/>
        <w:ind w:firstLine="34"/>
        <w:jc w:val="both"/>
        <w:spacing w:after="0" w:line="240" w:lineRule="auto"/>
        <w:rPr>
          <w:b/>
          <w:bCs/>
          <w:i/>
          <w:iCs/>
        </w:rPr>
      </w:pPr>
      <w:r>
        <w:rPr>
          <w:b/>
          <w:bCs/>
          <w:i/>
          <w:iCs/>
          <w:color w:val="000000"/>
        </w:rPr>
        <w:t xml:space="preserve">За необхідності, під час перебування на об’єктах учасники можуть отримати всю необхідну для нього інформацію, яка буде потрібна, зокрема узагальнену інформацію щодо справності та працездатності системи пожежної сигналізації, </w:t>
      </w:r>
      <w:r>
        <w:rPr>
          <w:b/>
          <w:bCs/>
          <w:i/>
          <w:iCs/>
        </w:rPr>
        <w:t xml:space="preserve">оповіщення про пожежу та устаткування для передачі тривожних сповіщень. </w:t>
      </w:r>
      <w:r/>
    </w:p>
    <w:p>
      <w:pPr>
        <w:jc w:val="both"/>
        <w:spacing w:after="0" w:line="240" w:lineRule="auto"/>
        <w:rPr>
          <w:rFonts w:ascii="Times New Roman" w:hAnsi="Times New Roman" w:eastAsia="Calibri" w:cs="Times New Roman"/>
          <w:b/>
          <w:bCs/>
          <w:i/>
          <w:iCs/>
          <w:sz w:val="24"/>
          <w:szCs w:val="24"/>
          <w:u w:val="single"/>
        </w:rPr>
      </w:pPr>
      <w:r>
        <w:rPr>
          <w:rFonts w:ascii="Times New Roman" w:hAnsi="Times New Roman" w:cs="Times New Roman"/>
          <w:b/>
          <w:bCs/>
          <w:i/>
          <w:iCs/>
          <w:sz w:val="24"/>
          <w:szCs w:val="24"/>
        </w:rPr>
        <w:t xml:space="preserve">У разі відвідування учасниками об’єктів предмета закупівлі повинно бути складено підтверджуючий документ за підписом замовника та учасника, який повинен міститися у пропозиції.</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w:t>
      </w:r>
      <w:r>
        <w:rPr>
          <w:rFonts w:ascii="Times New Roman" w:hAnsi="Times New Roman" w:eastAsia="Times New Roman" w:cs="Times New Roman"/>
          <w:sz w:val="24"/>
          <w:szCs w:val="24"/>
          <w:lang w:eastAsia="ru-RU"/>
        </w:rPr>
        <w:t xml:space="preserve">«Забезпечення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164 000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шістдесят чотири тисячі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7"/>
      <w:numFmt w:val="bullet"/>
      <w:isLgl w:val="false"/>
      <w:suff w:val="tab"/>
      <w:lvlText w:val="-"/>
      <w:lvlJc w:val="left"/>
      <w:pPr>
        <w:ind w:left="720" w:hanging="360"/>
      </w:pPr>
      <w:rPr>
        <w:rFonts w:hint="default" w:ascii="Times New Roman" w:hAnsi="Times New Roman" w:cs="Times New Roman" w:eastAsiaTheme="minorHAns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34"/>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34"/>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2024-02-16T17:34:59Z</dcterms:modified>
</cp:coreProperties>
</file>