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015849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транспортних засобів, що підлягають обов’язковому страхуванню цивільно-правової відповідальності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2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01"/>
        <w:gridCol w:w="1276"/>
        <w:gridCol w:w="2552"/>
        <w:gridCol w:w="992"/>
        <w:gridCol w:w="1134"/>
        <w:gridCol w:w="1452"/>
      </w:tblGrid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з/п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кузова (шасі) / VIN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Об’єм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двигуна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куб.см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реєстрації ТЗ</w:t>
            </w:r>
            <w:r/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 страхування</w:t>
            </w:r>
            <w:r/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3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Passat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0095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WVWZZZ3BZ2P128855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3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Passat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0501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WVWZZZ3BZ5P035524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3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АА7594РС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TMBBG41U148759521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>
          <w:trHeight w:val="13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ГАЗ-2752-114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0510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27520040102790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ГАЗ-33023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0589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330230С0147755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ГАЗ-322132-288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0572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322100А0452889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ЗІЛ-5301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0513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5301БО20063503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23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ГАЗ-3307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33070020828650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23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МАЗ-5551-02-220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АА0599АО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УЗМ55510250000848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24.12.2023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Технічні, якісні, кількісні та інші вимоги до предмета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 закупівлі — послуги зі страхування транспортних засобів.</w:t>
      </w:r>
      <w:r/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Строк дії страхового поліса </w:t>
      </w:r>
      <w:r>
        <w:rPr>
          <w:rFonts w:ascii="Times New Roman" w:hAnsi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рік.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Оформлення полісів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франшизою 0 (нуль) гривень.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Style w:val="720"/>
          <w:rFonts w:ascii="Times New Roman" w:hAnsi="Times New Roman" w:cs="Times New Roman"/>
          <w:iCs/>
          <w:sz w:val="24"/>
          <w:szCs w:val="24"/>
        </w:rPr>
        <w:t xml:space="preserve">- Обов’язкове представництво страховика у м. Києві.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Style w:val="720"/>
          <w:rFonts w:ascii="Times New Roman" w:hAnsi="Times New Roman" w:cs="Times New Roman"/>
          <w:iCs/>
          <w:sz w:val="24"/>
          <w:szCs w:val="24"/>
        </w:rPr>
        <w:t xml:space="preserve">(надати гарантійний лист)</w:t>
      </w:r>
      <w:r/>
    </w:p>
    <w:p>
      <w:pPr>
        <w:ind w:firstLine="567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Вимоги до Учасника: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Статутний капітал не нижче 100 млн. грн.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 Досвід страхування – не менше 10 років.</w:t>
      </w:r>
      <w:r/>
    </w:p>
    <w:p>
      <w:pPr>
        <w:pStyle w:val="741"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1.3 Входження в ТОП 10 страхових компаній України за показниками: «Страхові платежі» та «Страхові виплати»  по ОСЦПВВНТЗ за 9 місяців 2023 року.</w:t>
      </w:r>
      <w:r/>
    </w:p>
    <w:p>
      <w:pPr>
        <w:pStyle w:val="741"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1.4 За офіційною оцінкою діяльності страховиків-членів МТСБУ оцінку «високий рівень» (зелений колір) за 2021р, 2022р. (3,4 квартал, інформація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 1,2 квартали на сайті МТСБУ не опубліковані) та 1,2,3 квартали 2023 року за показниками «Якість врегулювання збитків», «Рівень скарг від потерпілих та страхувальників», «Загальна оцінка діяльності страховика» (спосіб перевірки – офіційний сайт МТСБУ);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 Частка вимог за шкоду майну, врегульованих до 90 днів від дати ДТП до останньої виплати складає не менше 80%  за 1,2 та 3 квартали 2023 року згідно даних МТСБУ.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37 628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сім тисяч шістсот двадцять вісім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>
    <w:name w:val="HTML Preformatted"/>
    <w:basedOn w:val="705"/>
    <w:link w:val="742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742" w:customStyle="1">
    <w:name w:val="Стандартний HTML Знак"/>
    <w:basedOn w:val="707"/>
    <w:link w:val="741"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2023-12-13T21:32:50Z</dcterms:modified>
</cp:coreProperties>
</file>