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0"/>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систем зберігання енергії за ДК 021:2015: 31150000-2 </w:t>
      </w:r>
      <w:r>
        <w:rPr>
          <w:b w:val="0"/>
          <w:bCs w:val="0"/>
          <w:sz w:val="24"/>
          <w:szCs w:val="24"/>
        </w:rPr>
        <w:t xml:space="preserve">Баласти</w:t>
      </w:r>
      <w:r>
        <w:rPr>
          <w:b w:val="0"/>
          <w:bCs w:val="0"/>
          <w:sz w:val="24"/>
          <w:szCs w:val="24"/>
        </w:rPr>
        <w:t xml:space="preserve"> для розрядних ламп чи трубок</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05584</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систем зберігання енергії за ДК 021:2015: 31150000-2 </w:t>
      </w:r>
      <w:r>
        <w:rPr>
          <w:rFonts w:ascii="Times New Roman" w:hAnsi="Times New Roman" w:cs="Times New Roman"/>
          <w:sz w:val="24"/>
          <w:szCs w:val="24"/>
        </w:rPr>
        <w:t xml:space="preserve">Баласти</w:t>
      </w:r>
      <w:r>
        <w:rPr>
          <w:rFonts w:ascii="Times New Roman" w:hAnsi="Times New Roman" w:cs="Times New Roman"/>
          <w:sz w:val="24"/>
          <w:szCs w:val="24"/>
        </w:rPr>
        <w:t xml:space="preserve"> для розрядних ламп чи трубок</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rPr>
          <w:b/>
          <w:color w:val="000000"/>
        </w:rPr>
      </w:pPr>
      <w:r>
        <w:rPr>
          <w:b/>
          <w:color w:val="000000"/>
        </w:rPr>
      </w:r>
      <w:r/>
    </w:p>
    <w:tbl>
      <w:tblPr>
        <w:tblStyle w:val="738"/>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0"/>
              <w:jc w:val="center"/>
              <w:rPr>
                <w:b/>
                <w:bCs/>
              </w:rPr>
            </w:pPr>
            <w:r>
              <w:rPr>
                <w:b/>
                <w:bCs/>
              </w:rPr>
              <w:t xml:space="preserve">№ п/п</w:t>
            </w:r>
            <w:r/>
          </w:p>
        </w:tc>
        <w:tc>
          <w:tcPr>
            <w:tcW w:w="5670" w:type="dxa"/>
            <w:textDirection w:val="lrTb"/>
            <w:noWrap w:val="false"/>
          </w:tcPr>
          <w:p>
            <w:pPr>
              <w:pStyle w:val="740"/>
              <w:jc w:val="center"/>
              <w:rPr>
                <w:b/>
                <w:bCs/>
              </w:rPr>
            </w:pPr>
            <w:r>
              <w:rPr>
                <w:b/>
                <w:bCs/>
              </w:rPr>
              <w:t xml:space="preserve">Назва системи</w:t>
            </w:r>
            <w:r/>
          </w:p>
        </w:tc>
        <w:tc>
          <w:tcPr>
            <w:tcW w:w="1701" w:type="dxa"/>
            <w:textDirection w:val="lrTb"/>
            <w:noWrap w:val="false"/>
          </w:tcPr>
          <w:p>
            <w:pPr>
              <w:pStyle w:val="740"/>
              <w:jc w:val="center"/>
              <w:rPr>
                <w:b/>
                <w:bCs/>
              </w:rPr>
            </w:pPr>
            <w:r>
              <w:rPr>
                <w:b/>
                <w:bCs/>
              </w:rPr>
              <w:t xml:space="preserve">Одиниця виміру</w:t>
            </w:r>
            <w:r/>
          </w:p>
        </w:tc>
        <w:tc>
          <w:tcPr>
            <w:tcW w:w="1701" w:type="dxa"/>
            <w:textDirection w:val="lrTb"/>
            <w:noWrap w:val="false"/>
          </w:tcPr>
          <w:p>
            <w:pPr>
              <w:pStyle w:val="740"/>
              <w:jc w:val="center"/>
              <w:rPr>
                <w:b/>
                <w:bCs/>
              </w:rPr>
            </w:pPr>
            <w:r>
              <w:rPr>
                <w:b/>
                <w:bCs/>
              </w:rPr>
              <w:t xml:space="preserve">Кількість</w:t>
            </w:r>
            <w:r/>
          </w:p>
        </w:tc>
      </w:tr>
      <w:tr>
        <w:trPr/>
        <w:tc>
          <w:tcPr>
            <w:tcW w:w="562" w:type="dxa"/>
            <w:vAlign w:val="center"/>
            <w:textDirection w:val="lrTb"/>
            <w:noWrap w:val="false"/>
          </w:tcPr>
          <w:p>
            <w:pPr>
              <w:pStyle w:val="740"/>
              <w:jc w:val="center"/>
              <w:rPr>
                <w:b/>
                <w:bCs/>
              </w:rPr>
            </w:pPr>
            <w:r>
              <w:rPr>
                <w:b/>
                <w:bCs/>
              </w:rPr>
              <w:t xml:space="preserve">1</w:t>
            </w:r>
            <w:r/>
          </w:p>
        </w:tc>
        <w:tc>
          <w:tcPr>
            <w:tcW w:w="5670" w:type="dxa"/>
            <w:vAlign w:val="center"/>
            <w:textDirection w:val="lrTb"/>
            <w:noWrap w:val="false"/>
          </w:tcPr>
          <w:p>
            <w:pPr>
              <w:pStyle w:val="740"/>
              <w:rPr>
                <w:b/>
                <w:bCs/>
              </w:rPr>
            </w:pPr>
            <w:r>
              <w:rPr>
                <w:b/>
                <w:lang w:val="ru-RU"/>
              </w:rPr>
              <w:t xml:space="preserve">Система </w:t>
            </w:r>
            <w:r>
              <w:rPr>
                <w:b/>
                <w:lang w:val="ru-RU"/>
              </w:rPr>
              <w:t xml:space="preserve">зберігання</w:t>
            </w:r>
            <w:r>
              <w:rPr>
                <w:b/>
                <w:lang w:val="ru-RU"/>
              </w:rPr>
              <w:t xml:space="preserve"> </w:t>
            </w:r>
            <w:r>
              <w:rPr>
                <w:b/>
                <w:lang w:val="ru-RU"/>
              </w:rPr>
              <w:t xml:space="preserve">енергії</w:t>
            </w:r>
            <w:r>
              <w:rPr>
                <w:b/>
                <w:lang w:val="ru-RU"/>
              </w:rPr>
              <w:t xml:space="preserve"> №1</w:t>
            </w:r>
            <w:r/>
          </w:p>
        </w:tc>
        <w:tc>
          <w:tcPr>
            <w:tcW w:w="1701" w:type="dxa"/>
            <w:vAlign w:val="center"/>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1</w:t>
            </w:r>
            <w:r/>
          </w:p>
        </w:tc>
      </w:tr>
      <w:tr>
        <w:trPr/>
        <w:tc>
          <w:tcPr>
            <w:tcW w:w="562" w:type="dxa"/>
            <w:vAlign w:val="center"/>
            <w:textDirection w:val="lrTb"/>
            <w:noWrap w:val="false"/>
          </w:tcPr>
          <w:p>
            <w:pPr>
              <w:pStyle w:val="740"/>
              <w:jc w:val="center"/>
              <w:rPr>
                <w:b/>
                <w:bCs/>
              </w:rPr>
            </w:pPr>
            <w:r>
              <w:rPr>
                <w:b/>
                <w:bCs/>
              </w:rPr>
              <w:t xml:space="preserve">2</w:t>
            </w:r>
            <w:r/>
          </w:p>
        </w:tc>
        <w:tc>
          <w:tcPr>
            <w:tcW w:w="5670" w:type="dxa"/>
            <w:vAlign w:val="center"/>
            <w:textDirection w:val="lrTb"/>
            <w:noWrap w:val="false"/>
          </w:tcPr>
          <w:p>
            <w:pPr>
              <w:pStyle w:val="740"/>
              <w:rPr>
                <w:b/>
                <w:lang w:val="ru-RU"/>
              </w:rPr>
            </w:pPr>
            <w:r>
              <w:rPr>
                <w:b/>
                <w:lang w:val="ru-RU"/>
              </w:rPr>
              <w:t xml:space="preserve">Система </w:t>
            </w:r>
            <w:r>
              <w:rPr>
                <w:b/>
                <w:lang w:val="ru-RU"/>
              </w:rPr>
              <w:t xml:space="preserve">зберігання</w:t>
            </w:r>
            <w:r>
              <w:rPr>
                <w:b/>
                <w:lang w:val="ru-RU"/>
              </w:rPr>
              <w:t xml:space="preserve"> </w:t>
            </w:r>
            <w:r>
              <w:rPr>
                <w:b/>
                <w:lang w:val="ru-RU"/>
              </w:rPr>
              <w:t xml:space="preserve">енергії</w:t>
            </w:r>
            <w:r>
              <w:rPr>
                <w:b/>
                <w:lang w:val="ru-RU"/>
              </w:rPr>
              <w:t xml:space="preserve"> №2</w:t>
            </w:r>
            <w:r/>
          </w:p>
        </w:tc>
        <w:tc>
          <w:tcPr>
            <w:tcW w:w="1701" w:type="dxa"/>
            <w:vAlign w:val="center"/>
            <w:textDirection w:val="lrTb"/>
            <w:noWrap w:val="false"/>
          </w:tcPr>
          <w:p>
            <w:pPr>
              <w:pStyle w:val="740"/>
              <w:jc w:val="center"/>
              <w:rPr>
                <w:b/>
                <w:bCs/>
              </w:rPr>
            </w:pPr>
            <w:r>
              <w:rPr>
                <w:b/>
                <w:bCs/>
              </w:rPr>
              <w:t xml:space="preserve">шт.</w:t>
            </w:r>
            <w:r/>
          </w:p>
        </w:tc>
        <w:tc>
          <w:tcPr>
            <w:tcW w:w="1701" w:type="dxa"/>
            <w:vAlign w:val="center"/>
            <w:textDirection w:val="lrTb"/>
            <w:noWrap w:val="false"/>
          </w:tcPr>
          <w:p>
            <w:pPr>
              <w:pStyle w:val="740"/>
              <w:jc w:val="center"/>
              <w:rPr>
                <w:b/>
                <w:bCs/>
              </w:rPr>
            </w:pPr>
            <w:r>
              <w:rPr>
                <w:b/>
                <w:bCs/>
              </w:rPr>
              <w:t xml:space="preserve">1</w:t>
            </w:r>
            <w:r/>
          </w:p>
        </w:tc>
      </w:tr>
    </w:tbl>
    <w:p>
      <w:pPr>
        <w:pStyle w:val="740"/>
        <w:jc w:val="both"/>
        <w:spacing w:after="0"/>
        <w:rPr>
          <w:b/>
          <w:bCs/>
          <w:i/>
          <w:iCs/>
          <w:lang w:eastAsia="ru-RU"/>
        </w:rPr>
      </w:pPr>
      <w:r>
        <w:rPr>
          <w:b/>
          <w:bCs/>
          <w:i/>
          <w:iCs/>
          <w:lang w:eastAsia="ru-RU"/>
        </w:rPr>
      </w:r>
      <w:r/>
    </w:p>
    <w:p>
      <w:pPr>
        <w:pStyle w:val="740"/>
        <w:jc w:val="both"/>
        <w:spacing w:after="0"/>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pStyle w:val="740"/>
        <w:jc w:val="both"/>
        <w:spacing w:after="0"/>
        <w:rPr>
          <w:b/>
          <w:bCs/>
          <w:i/>
          <w:iCs/>
          <w:lang w:eastAsia="ru-RU"/>
        </w:rPr>
      </w:pPr>
      <w:r>
        <w:rPr>
          <w:b/>
          <w:bCs/>
          <w:i/>
          <w:iCs/>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pStyle w:val="752"/>
        <w:jc w:val="both"/>
        <w:rPr>
          <w:rStyle w:val="762"/>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984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8"/>
        <w:gridCol w:w="1846"/>
        <w:gridCol w:w="4174"/>
        <w:gridCol w:w="2560"/>
        <w:gridCol w:w="884"/>
      </w:tblGrid>
      <w:tr>
        <w:trPr>
          <w:trHeight w:val="315"/>
        </w:trPr>
        <w:tc>
          <w:tcPr>
            <w:shd w:val="clear" w:color="auto" w:fill="auto"/>
            <w:tcW w:w="506"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з/п</w:t>
            </w:r>
            <w:r/>
          </w:p>
        </w:tc>
        <w:tc>
          <w:tcPr>
            <w:shd w:val="clear" w:color="auto" w:fill="auto"/>
            <w:tcW w:w="1719"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Найменування товару</w:t>
            </w:r>
            <w:r/>
          </w:p>
        </w:tc>
        <w:tc>
          <w:tcPr>
            <w:gridSpan w:val="2"/>
            <w:shd w:val="clear" w:color="auto" w:fill="auto"/>
            <w:tcW w:w="6734"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Характеристики товару</w:t>
            </w:r>
            <w:r/>
          </w:p>
        </w:tc>
        <w:tc>
          <w:tcPr>
            <w:shd w:val="clear" w:color="auto" w:fill="auto"/>
            <w:tcW w:w="884"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К-сть, </w:t>
            </w:r>
            <w:r>
              <w:rPr>
                <w:rFonts w:ascii="Times New Roman" w:hAnsi="Times New Roman" w:cs="Times New Roman"/>
                <w:b/>
                <w:bCs/>
                <w:color w:val="000000"/>
                <w:sz w:val="24"/>
                <w:szCs w:val="24"/>
              </w:rPr>
              <w:t xml:space="preserve">шт</w:t>
            </w:r>
            <w:r/>
          </w:p>
        </w:tc>
      </w:tr>
      <w:tr>
        <w:trPr>
          <w:trHeight w:val="300"/>
        </w:trPr>
        <w:tc>
          <w:tcPr>
            <w:shd w:val="clear" w:color="auto" w:fill="auto"/>
            <w:tcW w:w="506"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shd w:val="clear" w:color="auto" w:fill="auto"/>
            <w:tcW w:w="1719"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Система зберігання енергії №1</w:t>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Гібридна трьох фазна система зберігання енергії (резервного електроживлення) в серійному </w:t>
            </w:r>
            <w:r>
              <w:rPr>
                <w:rFonts w:ascii="Times New Roman" w:hAnsi="Times New Roman" w:cs="Times New Roman"/>
                <w:color w:val="000000"/>
                <w:sz w:val="24"/>
                <w:szCs w:val="24"/>
              </w:rPr>
              <w:t xml:space="preserve">монокорпусному</w:t>
            </w:r>
            <w:r>
              <w:rPr>
                <w:rFonts w:ascii="Times New Roman" w:hAnsi="Times New Roman" w:cs="Times New Roman"/>
                <w:color w:val="000000"/>
                <w:sz w:val="24"/>
                <w:szCs w:val="24"/>
              </w:rPr>
              <w:t xml:space="preserve"> виконанні з встановленням, налаштуванням та вводом в експлуатацію на майданчику замовника</w:t>
            </w:r>
            <w:r/>
          </w:p>
        </w:tc>
        <w:tc>
          <w:tcPr>
            <w:shd w:val="clear" w:color="auto" w:fill="auto"/>
            <w:tcW w:w="884"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інверторів у складі системи</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сигналу</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Чиста синусоїда</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Номінальна потужність інвертору АС</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12000 Вт</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Пікова потужність інвертору АС</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24000 Вт</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 вхідна потужність PV (сонячного масиву) </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15600 Вт</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Максимальний струм заряду (вихід інвертора)</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240 A</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фаз</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MPPT</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Функція холодного запуску </w:t>
            </w:r>
            <w:r/>
          </w:p>
        </w:tc>
        <w:tc>
          <w:tcPr>
            <w:shd w:val="clear" w:color="auto" w:fill="auto"/>
            <w:tcW w:w="2560"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w:t>
            </w:r>
            <w:r>
              <w:rPr>
                <w:rFonts w:ascii="Times New Roman" w:hAnsi="Times New Roman" w:cs="Times New Roman"/>
                <w:color w:val="000000"/>
                <w:sz w:val="24"/>
                <w:szCs w:val="24"/>
              </w:rPr>
              <w:t xml:space="preserve">батарей</w:t>
            </w:r>
            <w:r>
              <w:rPr>
                <w:rFonts w:ascii="Times New Roman" w:hAnsi="Times New Roman" w:cs="Times New Roman"/>
                <w:color w:val="000000"/>
                <w:sz w:val="24"/>
                <w:szCs w:val="24"/>
              </w:rPr>
              <w:t xml:space="preserve"> у складі системи</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8</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батареї</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LiFePO4</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Сумарна </w:t>
            </w:r>
            <w:r>
              <w:rPr>
                <w:rFonts w:ascii="Times New Roman" w:hAnsi="Times New Roman" w:cs="Times New Roman"/>
                <w:sz w:val="24"/>
                <w:szCs w:val="24"/>
              </w:rPr>
              <w:t xml:space="preserve">повна енергія, що зберігається в блоці </w:t>
            </w:r>
            <w:r>
              <w:rPr>
                <w:rFonts w:ascii="Times New Roman" w:hAnsi="Times New Roman" w:cs="Times New Roman"/>
                <w:sz w:val="24"/>
                <w:szCs w:val="24"/>
              </w:rPr>
              <w:t xml:space="preserve">батарей</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w:t>
            </w:r>
            <w:r>
              <w:rPr>
                <w:rFonts w:ascii="Times New Roman" w:hAnsi="Times New Roman" w:cs="Times New Roman"/>
                <w:sz w:val="24"/>
                <w:szCs w:val="24"/>
              </w:rPr>
              <w:t xml:space="preserve">38400 Вт*г</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Номінальна напруга </w:t>
            </w:r>
            <w:r>
              <w:rPr>
                <w:rFonts w:ascii="Times New Roman" w:hAnsi="Times New Roman" w:cs="Times New Roman"/>
                <w:color w:val="000000"/>
                <w:sz w:val="24"/>
                <w:szCs w:val="24"/>
              </w:rPr>
              <w:t xml:space="preserve">батарей</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48 В</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Життевий</w:t>
            </w:r>
            <w:r>
              <w:rPr>
                <w:rFonts w:ascii="Times New Roman" w:hAnsi="Times New Roman" w:cs="Times New Roman"/>
                <w:color w:val="000000"/>
                <w:sz w:val="24"/>
                <w:szCs w:val="24"/>
              </w:rPr>
              <w:t xml:space="preserve"> цикл батарейного блоку (кількість циклів повного заряду/розряду блоку </w:t>
            </w:r>
            <w:r>
              <w:rPr>
                <w:rFonts w:ascii="Times New Roman" w:hAnsi="Times New Roman" w:cs="Times New Roman"/>
                <w:color w:val="000000"/>
                <w:sz w:val="24"/>
                <w:szCs w:val="24"/>
              </w:rPr>
              <w:t xml:space="preserve">батарей</w:t>
            </w:r>
            <w:r>
              <w:rPr>
                <w:rFonts w:ascii="Times New Roman" w:hAnsi="Times New Roman" w:cs="Times New Roman"/>
                <w:color w:val="000000"/>
                <w:sz w:val="24"/>
                <w:szCs w:val="24"/>
              </w:rPr>
              <w:t xml:space="preserve">, після яких в ньому залишиться не менше ніж 80% від початкової номінальної ємності. Умови випробування: струм 0.2С, температура 25 градусів C.)</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6000 циклів </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Максимально можливий струм заряду батарейного блоку</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240 A</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та тип вбудованих вихідних роз'ємів з батарейним резервуванням та перемикачем </w:t>
            </w:r>
            <w:r>
              <w:rPr>
                <w:rFonts w:ascii="Times New Roman" w:hAnsi="Times New Roman" w:cs="Times New Roman"/>
                <w:color w:val="000000"/>
                <w:sz w:val="24"/>
                <w:szCs w:val="24"/>
              </w:rPr>
              <w:t xml:space="preserve">вкл</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викл</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 х </w:t>
            </w:r>
            <w:r>
              <w:rPr>
                <w:rFonts w:ascii="Times New Roman" w:hAnsi="Times New Roman" w:cs="Times New Roman"/>
                <w:color w:val="000000"/>
                <w:sz w:val="24"/>
                <w:szCs w:val="24"/>
              </w:rPr>
              <w:t xml:space="preserve">Schuko</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Окремий порт для підключення бензинового або дизель генератора</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 обмеження потужності яку інвертор може брати з генератора</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6 періодів для визначення часу заряду/розряду </w:t>
            </w:r>
            <w:r>
              <w:rPr>
                <w:rFonts w:ascii="Times New Roman" w:hAnsi="Times New Roman" w:cs="Times New Roman"/>
                <w:color w:val="000000"/>
                <w:sz w:val="24"/>
                <w:szCs w:val="24"/>
              </w:rPr>
              <w:t xml:space="preserve">батарей</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Повністю небалансований вихід по кожній фазі</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Максимальна потужність по одній фазі не менше ніж 50% від загальної потужності інвертора</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Вбудований захист від перенавантаження в інверторі.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Синхронізація BMS блоку </w:t>
            </w:r>
            <w:r>
              <w:rPr>
                <w:rFonts w:ascii="Times New Roman" w:hAnsi="Times New Roman" w:cs="Times New Roman"/>
                <w:color w:val="000000"/>
                <w:sz w:val="24"/>
                <w:szCs w:val="24"/>
              </w:rPr>
              <w:t xml:space="preserve">батарей</w:t>
            </w:r>
            <w:r>
              <w:rPr>
                <w:rFonts w:ascii="Times New Roman" w:hAnsi="Times New Roman" w:cs="Times New Roman"/>
                <w:color w:val="000000"/>
                <w:sz w:val="24"/>
                <w:szCs w:val="24"/>
              </w:rPr>
              <w:t xml:space="preserve"> з інвертором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Додатковий зовнішній запобіжник/роз’єднувач по постійному струму зі швидким розщепленням</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 xml:space="preserve">Автоматичний захист по змінному струму</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Ручний перемикач для виключення системи зберігання енергії з ланцюга живлення навантаження (Для </w:t>
            </w:r>
            <w:r>
              <w:rPr>
                <w:rFonts w:ascii="Times New Roman" w:hAnsi="Times New Roman" w:cs="Times New Roman"/>
                <w:sz w:val="24"/>
                <w:szCs w:val="24"/>
              </w:rPr>
              <w:t xml:space="preserve">проведення діагностики і сервісного обслуговування системи)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WiFi</w:t>
            </w:r>
            <w:r>
              <w:rPr>
                <w:rFonts w:ascii="Times New Roman" w:hAnsi="Times New Roman" w:cs="Times New Roman"/>
                <w:sz w:val="24"/>
                <w:szCs w:val="24"/>
              </w:rPr>
              <w:t xml:space="preserve"> модуль для моніторингу стану системи в реальному часі</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Додаток для </w:t>
            </w:r>
            <w:r>
              <w:rPr>
                <w:rFonts w:ascii="Times New Roman" w:hAnsi="Times New Roman" w:cs="Times New Roman"/>
                <w:sz w:val="24"/>
                <w:szCs w:val="24"/>
              </w:rPr>
              <w:t xml:space="preserve">Android</w:t>
            </w:r>
            <w:r>
              <w:rPr>
                <w:rFonts w:ascii="Times New Roman" w:hAnsi="Times New Roman" w:cs="Times New Roman"/>
                <w:sz w:val="24"/>
                <w:szCs w:val="24"/>
              </w:rPr>
              <w:t xml:space="preserve">/IOS з можливістю доступу до: статистики, стану споживання, параметрів, налаштувань, характеристик блоку </w:t>
            </w:r>
            <w:r>
              <w:rPr>
                <w:rFonts w:ascii="Times New Roman" w:hAnsi="Times New Roman" w:cs="Times New Roman"/>
                <w:sz w:val="24"/>
                <w:szCs w:val="24"/>
              </w:rPr>
              <w:t xml:space="preserve">батарей</w:t>
            </w:r>
            <w:r>
              <w:rPr>
                <w:rFonts w:ascii="Times New Roman" w:hAnsi="Times New Roman" w:cs="Times New Roman"/>
                <w:sz w:val="24"/>
                <w:szCs w:val="24"/>
              </w:rPr>
              <w:t xml:space="preserve"> і інвертора.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2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Додатковий </w:t>
            </w:r>
            <w:r>
              <w:rPr>
                <w:rFonts w:ascii="Times New Roman" w:hAnsi="Times New Roman" w:cs="Times New Roman"/>
                <w:sz w:val="24"/>
                <w:szCs w:val="24"/>
              </w:rPr>
              <w:t xml:space="preserve">опціонал</w:t>
            </w:r>
            <w:r>
              <w:rPr>
                <w:rFonts w:ascii="Times New Roman" w:hAnsi="Times New Roman" w:cs="Times New Roman"/>
                <w:sz w:val="24"/>
                <w:szCs w:val="24"/>
              </w:rPr>
              <w:t xml:space="preserve">/можливості</w:t>
            </w:r>
            <w:r/>
          </w:p>
        </w:tc>
        <w:tc>
          <w:tcPr>
            <w:shd w:val="clear" w:color="auto" w:fill="auto"/>
            <w:tcW w:w="256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Розумний режим заряду акумулятора для оптимізації терміну служби акумулятора</w:t>
            </w:r>
            <w:r>
              <w:rPr>
                <w:rFonts w:ascii="Times New Roman" w:hAnsi="Times New Roman" w:cs="Times New Roman"/>
                <w:sz w:val="24"/>
                <w:szCs w:val="24"/>
              </w:rPr>
              <w:br/>
              <w:t xml:space="preserve">Захист від перевантаження, високої температури, короткого замикання на виході інвертора, захист від перенапруги</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Гарантія </w:t>
            </w:r>
            <w:r/>
          </w:p>
        </w:tc>
        <w:tc>
          <w:tcPr>
            <w:shd w:val="clear" w:color="auto" w:fill="auto"/>
            <w:tcW w:w="256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60 місяців</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15"/>
        </w:trPr>
        <w:tc>
          <w:tcPr>
            <w:shd w:val="clear" w:color="auto" w:fill="auto"/>
            <w:tcW w:w="506"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з/п</w:t>
            </w:r>
            <w:r/>
          </w:p>
        </w:tc>
        <w:tc>
          <w:tcPr>
            <w:shd w:val="clear" w:color="auto" w:fill="auto"/>
            <w:tcW w:w="1719"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Найменування товару</w:t>
            </w:r>
            <w:r/>
          </w:p>
        </w:tc>
        <w:tc>
          <w:tcPr>
            <w:gridSpan w:val="2"/>
            <w:shd w:val="clear" w:color="auto" w:fill="auto"/>
            <w:tcW w:w="6734"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Характеристики товару</w:t>
            </w:r>
            <w:r/>
          </w:p>
        </w:tc>
        <w:tc>
          <w:tcPr>
            <w:shd w:val="clear" w:color="auto" w:fill="auto"/>
            <w:tcW w:w="884" w:type="dxa"/>
            <w:vAlign w:val="center"/>
            <w:textDirection w:val="lrTb"/>
            <w:noWrap w:val="false"/>
          </w:tcPr>
          <w:p>
            <w:pPr>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К-сть, </w:t>
            </w:r>
            <w:r>
              <w:rPr>
                <w:rFonts w:ascii="Times New Roman" w:hAnsi="Times New Roman" w:cs="Times New Roman"/>
                <w:b/>
                <w:bCs/>
                <w:color w:val="000000"/>
                <w:sz w:val="24"/>
                <w:szCs w:val="24"/>
              </w:rPr>
              <w:t xml:space="preserve">шт</w:t>
            </w:r>
            <w:r/>
          </w:p>
        </w:tc>
      </w:tr>
      <w:tr>
        <w:trPr>
          <w:trHeight w:val="300"/>
        </w:trPr>
        <w:tc>
          <w:tcPr>
            <w:shd w:val="clear" w:color="auto" w:fill="auto"/>
            <w:tcW w:w="506"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shd w:val="clear" w:color="auto" w:fill="auto"/>
            <w:tcW w:w="1719"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Система зберігання енергії №2</w:t>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Гібридна трьох фазна система зберігання енергії (резервного електроживлення) в серійному </w:t>
            </w:r>
            <w:r>
              <w:rPr>
                <w:rFonts w:ascii="Times New Roman" w:hAnsi="Times New Roman" w:cs="Times New Roman"/>
                <w:color w:val="000000"/>
                <w:sz w:val="24"/>
                <w:szCs w:val="24"/>
              </w:rPr>
              <w:t xml:space="preserve">монокорпусному</w:t>
            </w:r>
            <w:r>
              <w:rPr>
                <w:rFonts w:ascii="Times New Roman" w:hAnsi="Times New Roman" w:cs="Times New Roman"/>
                <w:color w:val="000000"/>
                <w:sz w:val="24"/>
                <w:szCs w:val="24"/>
              </w:rPr>
              <w:t xml:space="preserve"> виконанні з встановленням, налаштуванням та вводом в експлуатацію на майданчику замовника</w:t>
            </w:r>
            <w:r/>
          </w:p>
        </w:tc>
        <w:tc>
          <w:tcPr>
            <w:shd w:val="clear" w:color="auto" w:fill="auto"/>
            <w:tcW w:w="884"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інверторів у складі системи</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сигналу</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Чиста синусоїда</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Номінальна потужність інвертору АС</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30000 Вт</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Пікова потужність інвертору АС</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45000 Вт</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 вхідна потужність PV (сонячного масиву) </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39000 Вт</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Максимальний струм заряду (вихід інвертора)</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100 A</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фаз</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MPPT</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Функція холодного запуску </w:t>
            </w:r>
            <w:r/>
          </w:p>
        </w:tc>
        <w:tc>
          <w:tcPr>
            <w:shd w:val="clear" w:color="auto" w:fill="auto"/>
            <w:tcW w:w="2560"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батарейних блоків у складі системи</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батареї</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LiFePO4</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Сумарна </w:t>
            </w:r>
            <w:r>
              <w:rPr>
                <w:rFonts w:ascii="Times New Roman" w:hAnsi="Times New Roman" w:cs="Times New Roman"/>
                <w:sz w:val="24"/>
                <w:szCs w:val="24"/>
              </w:rPr>
              <w:t xml:space="preserve">повна енергія, що зберігається в блоці </w:t>
            </w:r>
            <w:r>
              <w:rPr>
                <w:rFonts w:ascii="Times New Roman" w:hAnsi="Times New Roman" w:cs="Times New Roman"/>
                <w:sz w:val="24"/>
                <w:szCs w:val="24"/>
              </w:rPr>
              <w:t xml:space="preserve">батарей</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w:t>
            </w:r>
            <w:r>
              <w:rPr>
                <w:rFonts w:ascii="Times New Roman" w:hAnsi="Times New Roman" w:cs="Times New Roman"/>
                <w:sz w:val="24"/>
                <w:szCs w:val="24"/>
              </w:rPr>
              <w:t xml:space="preserve">42620 Вт*г</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Діапазон напруги блоку </w:t>
            </w:r>
            <w:r>
              <w:rPr>
                <w:rFonts w:ascii="Times New Roman" w:hAnsi="Times New Roman" w:cs="Times New Roman"/>
                <w:color w:val="000000"/>
                <w:sz w:val="24"/>
                <w:szCs w:val="24"/>
              </w:rPr>
              <w:t xml:space="preserve">батарей</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вужче 160-800 В</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Життевий</w:t>
            </w:r>
            <w:r>
              <w:rPr>
                <w:rFonts w:ascii="Times New Roman" w:hAnsi="Times New Roman" w:cs="Times New Roman"/>
                <w:color w:val="000000"/>
                <w:sz w:val="24"/>
                <w:szCs w:val="24"/>
              </w:rPr>
              <w:t xml:space="preserve"> цикл батарейного блоку (кількість циклів повного заряду/розряду блоку </w:t>
            </w:r>
            <w:r>
              <w:rPr>
                <w:rFonts w:ascii="Times New Roman" w:hAnsi="Times New Roman" w:cs="Times New Roman"/>
                <w:color w:val="000000"/>
                <w:sz w:val="24"/>
                <w:szCs w:val="24"/>
              </w:rPr>
              <w:t xml:space="preserve">батарей</w:t>
            </w:r>
            <w:r>
              <w:rPr>
                <w:rFonts w:ascii="Times New Roman" w:hAnsi="Times New Roman" w:cs="Times New Roman"/>
                <w:color w:val="000000"/>
                <w:sz w:val="24"/>
                <w:szCs w:val="24"/>
              </w:rPr>
              <w:t xml:space="preserve">, після яких в ньому залишиться не менше ніж 80% від початкової номінальної ємності. Умови випробування: струм 0.2С, температура 25 градусів C.)</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6000 циклів </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Максимально можливий струм заряду та розряду батарейного блоку</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100 A</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та тип вбудованих вихідних роз'ємів з батарейним резервуванням та перемикачем </w:t>
            </w:r>
            <w:r>
              <w:rPr>
                <w:rFonts w:ascii="Times New Roman" w:hAnsi="Times New Roman" w:cs="Times New Roman"/>
                <w:color w:val="000000"/>
                <w:sz w:val="24"/>
                <w:szCs w:val="24"/>
              </w:rPr>
              <w:t xml:space="preserve">вкл</w:t>
            </w:r>
            <w:r>
              <w:rPr>
                <w:rFonts w:ascii="Times New Roman" w:hAnsi="Times New Roman" w:cs="Times New Roman"/>
                <w:color w:val="000000"/>
                <w:sz w:val="24"/>
                <w:szCs w:val="24"/>
              </w:rPr>
              <w:t xml:space="preserve">/</w:t>
            </w:r>
            <w:r>
              <w:rPr>
                <w:rFonts w:ascii="Times New Roman" w:hAnsi="Times New Roman" w:cs="Times New Roman"/>
                <w:color w:val="000000"/>
                <w:sz w:val="24"/>
                <w:szCs w:val="24"/>
              </w:rPr>
              <w:t xml:space="preserve">викл</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3 х </w:t>
            </w:r>
            <w:r>
              <w:rPr>
                <w:rFonts w:ascii="Times New Roman" w:hAnsi="Times New Roman" w:cs="Times New Roman"/>
                <w:color w:val="000000"/>
                <w:sz w:val="24"/>
                <w:szCs w:val="24"/>
              </w:rPr>
              <w:t xml:space="preserve">Schuko</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Окремий порт для підключення бензинового або дизель генератора</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 обмеження потужності яку інвертор може брати з генератора</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6 періодів для визначення часу заряду/розряду </w:t>
            </w:r>
            <w:r>
              <w:rPr>
                <w:rFonts w:ascii="Times New Roman" w:hAnsi="Times New Roman" w:cs="Times New Roman"/>
                <w:color w:val="000000"/>
                <w:sz w:val="24"/>
                <w:szCs w:val="24"/>
              </w:rPr>
              <w:t xml:space="preserve">батарей</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Повністю небалансований вихід по кожній фазі</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Максимальна потужність по одній фазі не менше ніж 50% від загальної потужності інвертора</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Вбудований захист від перенавантаження в інверторі.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Синхронізація BMS блоку </w:t>
            </w:r>
            <w:r>
              <w:rPr>
                <w:rFonts w:ascii="Times New Roman" w:hAnsi="Times New Roman" w:cs="Times New Roman"/>
                <w:color w:val="000000"/>
                <w:sz w:val="24"/>
                <w:szCs w:val="24"/>
              </w:rPr>
              <w:t xml:space="preserve">батарей</w:t>
            </w:r>
            <w:r>
              <w:rPr>
                <w:rFonts w:ascii="Times New Roman" w:hAnsi="Times New Roman" w:cs="Times New Roman"/>
                <w:color w:val="000000"/>
                <w:sz w:val="24"/>
                <w:szCs w:val="24"/>
              </w:rPr>
              <w:t xml:space="preserve"> з інвертором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Додатковий зовнішній запобіжник/роз’єднувач по постійному струму зі швидким розщепленням</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 xml:space="preserve">Автоматичний захист по змінному струму</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Ручний перемикач для виключення системи зберігання енергії з ланцюга живлення навантаження (Для проведення діагностики і сервісного обслуговування системи)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WiFi</w:t>
            </w:r>
            <w:r>
              <w:rPr>
                <w:rFonts w:ascii="Times New Roman" w:hAnsi="Times New Roman" w:cs="Times New Roman"/>
                <w:sz w:val="24"/>
                <w:szCs w:val="24"/>
              </w:rPr>
              <w:t xml:space="preserve"> модуль для моніторингу стану системи в реальному часі</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Додаток для </w:t>
            </w:r>
            <w:r>
              <w:rPr>
                <w:rFonts w:ascii="Times New Roman" w:hAnsi="Times New Roman" w:cs="Times New Roman"/>
                <w:sz w:val="24"/>
                <w:szCs w:val="24"/>
              </w:rPr>
              <w:t xml:space="preserve">Android</w:t>
            </w:r>
            <w:r>
              <w:rPr>
                <w:rFonts w:ascii="Times New Roman" w:hAnsi="Times New Roman" w:cs="Times New Roman"/>
                <w:sz w:val="24"/>
                <w:szCs w:val="24"/>
              </w:rPr>
              <w:t xml:space="preserve">/IOS з можливістю доступу до: статистики, стану споживання, параметрів, налаштувань, характеристик блоку </w:t>
            </w:r>
            <w:r>
              <w:rPr>
                <w:rFonts w:ascii="Times New Roman" w:hAnsi="Times New Roman" w:cs="Times New Roman"/>
                <w:sz w:val="24"/>
                <w:szCs w:val="24"/>
              </w:rPr>
              <w:t xml:space="preserve">батарей</w:t>
            </w:r>
            <w:r>
              <w:rPr>
                <w:rFonts w:ascii="Times New Roman" w:hAnsi="Times New Roman" w:cs="Times New Roman"/>
                <w:sz w:val="24"/>
                <w:szCs w:val="24"/>
              </w:rPr>
              <w:t xml:space="preserve"> і інвертора.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2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Додатковий </w:t>
            </w:r>
            <w:r>
              <w:rPr>
                <w:rFonts w:ascii="Times New Roman" w:hAnsi="Times New Roman" w:cs="Times New Roman"/>
                <w:sz w:val="24"/>
                <w:szCs w:val="24"/>
              </w:rPr>
              <w:t xml:space="preserve">опціонал</w:t>
            </w:r>
            <w:r>
              <w:rPr>
                <w:rFonts w:ascii="Times New Roman" w:hAnsi="Times New Roman" w:cs="Times New Roman"/>
                <w:sz w:val="24"/>
                <w:szCs w:val="24"/>
              </w:rPr>
              <w:t xml:space="preserve">/можливості</w:t>
            </w:r>
            <w:r/>
          </w:p>
        </w:tc>
        <w:tc>
          <w:tcPr>
            <w:shd w:val="clear" w:color="auto" w:fill="auto"/>
            <w:tcW w:w="256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Розумний режим заряду акумулятора для оптимізації терміну служби акумулятора</w:t>
            </w:r>
            <w:r>
              <w:rPr>
                <w:rFonts w:ascii="Times New Roman" w:hAnsi="Times New Roman" w:cs="Times New Roman"/>
                <w:sz w:val="24"/>
                <w:szCs w:val="24"/>
              </w:rPr>
              <w:br/>
              <w:t xml:space="preserve">Захист від перевантаження, </w:t>
            </w:r>
            <w:r>
              <w:rPr>
                <w:rFonts w:ascii="Times New Roman" w:hAnsi="Times New Roman" w:cs="Times New Roman"/>
                <w:sz w:val="24"/>
                <w:szCs w:val="24"/>
              </w:rPr>
              <w:t xml:space="preserve">високої температури, короткого замикання на виході інвертора, захист від перенапруги</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Гарантія </w:t>
            </w:r>
            <w:r/>
          </w:p>
        </w:tc>
        <w:tc>
          <w:tcPr>
            <w:shd w:val="clear" w:color="auto" w:fill="auto"/>
            <w:tcW w:w="256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60 місяців</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bl>
    <w:p>
      <w:pPr>
        <w:pStyle w:val="73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contextualSpacing/>
        <w:ind w:firstLine="567"/>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Вимоги до предмету закупівлі: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інструкція з експл</w:t>
      </w:r>
      <w:r>
        <w:rPr>
          <w:rFonts w:ascii="Times New Roman" w:hAnsi="Times New Roman" w:cs="Times New Roman"/>
          <w:sz w:val="24"/>
          <w:szCs w:val="24"/>
          <w:lang w:eastAsia="uk-UA"/>
        </w:rPr>
        <w:t xml:space="preserve">уатації українською мовою, гарантійні талони, передбачені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rPr>
      </w:pPr>
      <w:r/>
      <w:bookmarkStart w:id="0" w:name="_Hlk168910161"/>
      <w:r>
        <w:rPr>
          <w:rFonts w:ascii="Times New Roman" w:hAnsi="Times New Roman" w:cs="Times New Roman"/>
          <w:color w:val="000000"/>
          <w:sz w:val="24"/>
          <w:szCs w:val="24"/>
          <w:lang w:eastAsia="uk-UA"/>
        </w:rPr>
        <w:t xml:space="preserve">4. На підтвердження відповідності Товару, що є предметом закупівлі (система зберігання енергії) якісним характеристикам Учасник повинен надати: декларацію про відповідність та сертифікат відповідності згідно з нормами чинного законодавства України.</w:t>
      </w:r>
      <w:bookmarkEnd w:id="0"/>
      <w:r/>
      <w:r/>
    </w:p>
    <w:p>
      <w:pPr>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5. На підтвердження відповідності санітарно-епідеміологічному законодавству Учасник повинен надати висновок державної санітарно-епідеміологічної експертизи або інші документи згідно з нормами чинного законодавства України.</w:t>
      </w:r>
      <w:r/>
    </w:p>
    <w:p>
      <w:pPr>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6. Якщо Учасник не є виробником товару, що є п</w:t>
      </w:r>
      <w:r>
        <w:rPr>
          <w:rFonts w:ascii="Times New Roman" w:hAnsi="Times New Roman" w:cs="Times New Roman"/>
          <w:color w:val="000000"/>
          <w:sz w:val="24"/>
          <w:szCs w:val="24"/>
          <w:lang w:eastAsia="uk-UA"/>
        </w:rPr>
        <w:t xml:space="preserve">редметом закупівлі (система зберігання енергії),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w:t>
      </w:r>
      <w:r>
        <w:rPr>
          <w:rFonts w:ascii="Times New Roman" w:hAnsi="Times New Roman" w:cs="Times New Roman"/>
          <w:color w:val="000000"/>
          <w:sz w:val="24"/>
          <w:szCs w:val="24"/>
          <w:lang w:eastAsia="uk-UA"/>
        </w:rPr>
        <w:t xml:space="preserve">завданню та підтверджує гарантійні зобов’язання у повному обсязі. Лист повинен бути адресований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r/>
    </w:p>
    <w:p>
      <w:pPr>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7.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w:t>
      </w:r>
      <w:r>
        <w:rPr>
          <w:rFonts w:ascii="Times New Roman" w:hAnsi="Times New Roman" w:cs="Times New Roman"/>
          <w:color w:val="000000"/>
          <w:sz w:val="24"/>
          <w:szCs w:val="24"/>
          <w:lang w:eastAsia="uk-UA"/>
        </w:rPr>
        <w:t xml:space="preserve">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p>
    <w:p>
      <w:pPr>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8. Учасник надає перелік авторизованих сервісних центрів служби технічної підтримки, у яких буде здійснюв</w:t>
      </w:r>
      <w:r>
        <w:rPr>
          <w:rFonts w:ascii="Times New Roman" w:hAnsi="Times New Roman" w:cs="Times New Roman"/>
          <w:color w:val="000000"/>
          <w:sz w:val="24"/>
          <w:szCs w:val="24"/>
          <w:lang w:eastAsia="uk-UA"/>
        </w:rPr>
        <w:t xml:space="preserve">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r/>
    </w:p>
    <w:p>
      <w:pPr>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9. Учасник надає порівняльну таблицю відповідності запропонованого товару технічним вимогам Замовника.</w:t>
      </w:r>
      <w:r/>
    </w:p>
    <w:p>
      <w:pPr>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10. У разі надання гарантійного листа (або інших документів) від виробника (-</w:t>
      </w:r>
      <w:r>
        <w:rPr>
          <w:rFonts w:ascii="Times New Roman" w:hAnsi="Times New Roman" w:cs="Times New Roman"/>
          <w:color w:val="000000"/>
          <w:sz w:val="24"/>
          <w:szCs w:val="24"/>
          <w:lang w:eastAsia="uk-UA"/>
        </w:rPr>
        <w:t xml:space="preserve">ів</w:t>
      </w:r>
      <w:r>
        <w:rPr>
          <w:rFonts w:ascii="Times New Roman" w:hAnsi="Times New Roman" w:cs="Times New Roman"/>
          <w:color w:val="000000"/>
          <w:sz w:val="24"/>
          <w:szCs w:val="24"/>
          <w:lang w:eastAsia="uk-UA"/>
        </w:rPr>
        <w:t xml:space="preserve">) іноземною мовою, цей лист повинен супроводжуватись перекладом на українську мову.</w:t>
      </w:r>
      <w:r/>
    </w:p>
    <w:p>
      <w:pPr>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11. Гарантійні листи повинні бути адресовані Замовнику із обов’язковим зазначенням найменування та номеру закупівлі.</w:t>
      </w:r>
      <w:r/>
    </w:p>
    <w:p>
      <w:pPr>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uk-UA"/>
        </w:rPr>
        <w:t xml:space="preserve">12. Замовник має право звернут</w:t>
      </w:r>
      <w:r>
        <w:rPr>
          <w:rFonts w:ascii="Times New Roman" w:hAnsi="Times New Roman" w:cs="Times New Roman"/>
          <w:color w:val="000000"/>
          <w:sz w:val="24"/>
          <w:szCs w:val="24"/>
          <w:lang w:eastAsia="uk-UA"/>
        </w:rPr>
        <w:t xml:space="preserve">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w:t>
      </w:r>
      <w:r>
        <w:rPr>
          <w:rFonts w:ascii="Times New Roman" w:hAnsi="Times New Roman" w:cs="Times New Roman"/>
          <w:color w:val="000000"/>
          <w:sz w:val="24"/>
          <w:szCs w:val="24"/>
          <w:lang w:eastAsia="uk-UA"/>
        </w:rPr>
        <w:t xml:space="preserve">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r>
        <w:rPr>
          <w:rFonts w:ascii="Times New Roman" w:hAnsi="Times New Roman" w:cs="Times New Roman"/>
          <w:sz w:val="24"/>
          <w:szCs w:val="24"/>
          <w:lang w:eastAsia="uk-UA"/>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1 687 778</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один</w:t>
      </w:r>
      <w:r>
        <w:rPr>
          <w:rFonts w:ascii="Times New Roman" w:hAnsi="Times New Roman" w:eastAsia="Times New Roman" w:cs="Times New Roman"/>
          <w:sz w:val="24"/>
          <w:szCs w:val="24"/>
          <w:lang w:eastAsia="ru-RU"/>
        </w:rPr>
        <w:t xml:space="preserve"> мільйон </w:t>
      </w:r>
      <w:r>
        <w:rPr>
          <w:rFonts w:ascii="Times New Roman" w:hAnsi="Times New Roman" w:eastAsia="Times New Roman" w:cs="Times New Roman"/>
          <w:sz w:val="24"/>
          <w:szCs w:val="24"/>
          <w:lang w:eastAsia="ru-RU"/>
        </w:rPr>
        <w:t xml:space="preserve">шістсот вісімдесят сім</w:t>
      </w:r>
      <w:r>
        <w:rPr>
          <w:rFonts w:ascii="Times New Roman" w:hAnsi="Times New Roman" w:eastAsia="Times New Roman" w:cs="Times New Roman"/>
          <w:sz w:val="24"/>
          <w:szCs w:val="24"/>
          <w:lang w:eastAsia="ru-RU"/>
        </w:rPr>
        <w:t xml:space="preserve"> тисяч </w:t>
      </w:r>
      <w:r>
        <w:rPr>
          <w:rFonts w:ascii="Times New Roman" w:hAnsi="Times New Roman" w:eastAsia="Times New Roman" w:cs="Times New Roman"/>
          <w:sz w:val="24"/>
          <w:szCs w:val="24"/>
          <w:lang w:eastAsia="ru-RU"/>
        </w:rPr>
        <w:t xml:space="preserve">сімсот сімдесят вісім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10">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2">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3">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4">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5">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0">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4"/>
  </w:num>
  <w:num w:numId="2">
    <w:abstractNumId w:val="20"/>
  </w:num>
  <w:num w:numId="3">
    <w:abstractNumId w:val="10"/>
  </w:num>
  <w:num w:numId="4">
    <w:abstractNumId w:val="28"/>
  </w:num>
  <w:num w:numId="5">
    <w:abstractNumId w:val="9"/>
  </w:num>
  <w:num w:numId="6">
    <w:abstractNumId w:val="35"/>
  </w:num>
  <w:num w:numId="7">
    <w:abstractNumId w:val="13"/>
  </w:num>
  <w:num w:numId="8">
    <w:abstractNumId w:val="37"/>
  </w:num>
  <w:num w:numId="9">
    <w:abstractNumId w:val="3"/>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1"/>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6"/>
  </w:num>
  <w:num w:numId="17">
    <w:abstractNumId w:val="2"/>
  </w:num>
  <w:num w:numId="18">
    <w:abstractNumId w:val="41"/>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0"/>
  </w:num>
  <w:num w:numId="25">
    <w:abstractNumId w:val="22"/>
  </w:num>
  <w:num w:numId="26">
    <w:abstractNumId w:val="25"/>
  </w:num>
  <w:num w:numId="27">
    <w:abstractNumId w:val="32"/>
  </w:num>
  <w:num w:numId="28">
    <w:abstractNumId w:val="23"/>
  </w:num>
  <w:num w:numId="29">
    <w:abstractNumId w:val="33"/>
  </w:num>
  <w:num w:numId="30">
    <w:abstractNumId w:val="19"/>
  </w:num>
  <w:num w:numId="31">
    <w:abstractNumId w:val="4"/>
  </w:num>
  <w:num w:numId="32">
    <w:abstractNumId w:val="21"/>
  </w:num>
  <w:num w:numId="33">
    <w:abstractNumId w:val="18"/>
  </w:num>
  <w:num w:numId="34">
    <w:abstractNumId w:val="16"/>
  </w:num>
  <w:num w:numId="35">
    <w:abstractNumId w:val="39"/>
  </w:num>
  <w:num w:numId="36">
    <w:abstractNumId w:val="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0"/>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9"/>
    <w:next w:val="729"/>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3"/>
    <w:link w:val="12"/>
    <w:uiPriority w:val="9"/>
    <w:rPr>
      <w:rFonts w:ascii="Arial" w:hAnsi="Arial" w:eastAsia="Arial" w:cs="Arial"/>
      <w:sz w:val="40"/>
      <w:szCs w:val="40"/>
    </w:rPr>
  </w:style>
  <w:style w:type="character" w:styleId="15">
    <w:name w:val="Heading 2 Char"/>
    <w:basedOn w:val="733"/>
    <w:link w:val="730"/>
    <w:uiPriority w:val="9"/>
    <w:rPr>
      <w:rFonts w:ascii="Arial" w:hAnsi="Arial" w:eastAsia="Arial" w:cs="Arial"/>
      <w:sz w:val="34"/>
    </w:rPr>
  </w:style>
  <w:style w:type="character" w:styleId="17">
    <w:name w:val="Heading 3 Char"/>
    <w:basedOn w:val="733"/>
    <w:link w:val="731"/>
    <w:uiPriority w:val="9"/>
    <w:rPr>
      <w:rFonts w:ascii="Arial" w:hAnsi="Arial" w:eastAsia="Arial" w:cs="Arial"/>
      <w:sz w:val="30"/>
      <w:szCs w:val="30"/>
    </w:rPr>
  </w:style>
  <w:style w:type="character" w:styleId="19">
    <w:name w:val="Heading 4 Char"/>
    <w:basedOn w:val="733"/>
    <w:link w:val="732"/>
    <w:uiPriority w:val="9"/>
    <w:rPr>
      <w:rFonts w:ascii="Arial" w:hAnsi="Arial" w:eastAsia="Arial" w:cs="Arial"/>
      <w:b/>
      <w:bCs/>
      <w:sz w:val="26"/>
      <w:szCs w:val="26"/>
    </w:rPr>
  </w:style>
  <w:style w:type="paragraph" w:styleId="20">
    <w:name w:val="Heading 5"/>
    <w:basedOn w:val="729"/>
    <w:next w:val="729"/>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3"/>
    <w:link w:val="20"/>
    <w:uiPriority w:val="9"/>
    <w:rPr>
      <w:rFonts w:ascii="Arial" w:hAnsi="Arial" w:eastAsia="Arial" w:cs="Arial"/>
      <w:b/>
      <w:bCs/>
      <w:sz w:val="24"/>
      <w:szCs w:val="24"/>
    </w:rPr>
  </w:style>
  <w:style w:type="paragraph" w:styleId="22">
    <w:name w:val="Heading 6"/>
    <w:basedOn w:val="729"/>
    <w:next w:val="729"/>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3"/>
    <w:link w:val="22"/>
    <w:uiPriority w:val="9"/>
    <w:rPr>
      <w:rFonts w:ascii="Arial" w:hAnsi="Arial" w:eastAsia="Arial" w:cs="Arial"/>
      <w:b/>
      <w:bCs/>
      <w:sz w:val="22"/>
      <w:szCs w:val="22"/>
    </w:rPr>
  </w:style>
  <w:style w:type="paragraph" w:styleId="24">
    <w:name w:val="Heading 7"/>
    <w:basedOn w:val="729"/>
    <w:next w:val="729"/>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3"/>
    <w:link w:val="24"/>
    <w:uiPriority w:val="9"/>
    <w:rPr>
      <w:rFonts w:ascii="Arial" w:hAnsi="Arial" w:eastAsia="Arial" w:cs="Arial"/>
      <w:b/>
      <w:bCs/>
      <w:i/>
      <w:iCs/>
      <w:sz w:val="22"/>
      <w:szCs w:val="22"/>
    </w:rPr>
  </w:style>
  <w:style w:type="paragraph" w:styleId="26">
    <w:name w:val="Heading 8"/>
    <w:basedOn w:val="729"/>
    <w:next w:val="729"/>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3"/>
    <w:link w:val="26"/>
    <w:uiPriority w:val="9"/>
    <w:rPr>
      <w:rFonts w:ascii="Arial" w:hAnsi="Arial" w:eastAsia="Arial" w:cs="Arial"/>
      <w:i/>
      <w:iCs/>
      <w:sz w:val="22"/>
      <w:szCs w:val="22"/>
    </w:rPr>
  </w:style>
  <w:style w:type="paragraph" w:styleId="28">
    <w:name w:val="Heading 9"/>
    <w:basedOn w:val="729"/>
    <w:next w:val="729"/>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3"/>
    <w:link w:val="28"/>
    <w:uiPriority w:val="9"/>
    <w:rPr>
      <w:rFonts w:ascii="Arial" w:hAnsi="Arial" w:eastAsia="Arial" w:cs="Arial"/>
      <w:i/>
      <w:iCs/>
      <w:sz w:val="21"/>
      <w:szCs w:val="21"/>
    </w:rPr>
  </w:style>
  <w:style w:type="paragraph" w:styleId="33">
    <w:name w:val="Title"/>
    <w:basedOn w:val="729"/>
    <w:next w:val="729"/>
    <w:link w:val="34"/>
    <w:uiPriority w:val="10"/>
    <w:qFormat/>
    <w:pPr>
      <w:contextualSpacing/>
      <w:spacing w:before="300" w:after="200"/>
    </w:pPr>
    <w:rPr>
      <w:sz w:val="48"/>
      <w:szCs w:val="48"/>
    </w:rPr>
  </w:style>
  <w:style w:type="character" w:styleId="34">
    <w:name w:val="Title Char"/>
    <w:basedOn w:val="733"/>
    <w:link w:val="33"/>
    <w:uiPriority w:val="10"/>
    <w:rPr>
      <w:sz w:val="48"/>
      <w:szCs w:val="48"/>
    </w:rPr>
  </w:style>
  <w:style w:type="paragraph" w:styleId="35">
    <w:name w:val="Subtitle"/>
    <w:basedOn w:val="729"/>
    <w:next w:val="729"/>
    <w:link w:val="36"/>
    <w:uiPriority w:val="11"/>
    <w:qFormat/>
    <w:pPr>
      <w:spacing w:before="200" w:after="200"/>
    </w:pPr>
    <w:rPr>
      <w:sz w:val="24"/>
      <w:szCs w:val="24"/>
    </w:rPr>
  </w:style>
  <w:style w:type="character" w:styleId="36">
    <w:name w:val="Subtitle Char"/>
    <w:basedOn w:val="733"/>
    <w:link w:val="35"/>
    <w:uiPriority w:val="11"/>
    <w:rPr>
      <w:sz w:val="24"/>
      <w:szCs w:val="24"/>
    </w:rPr>
  </w:style>
  <w:style w:type="paragraph" w:styleId="37">
    <w:name w:val="Quote"/>
    <w:basedOn w:val="729"/>
    <w:next w:val="729"/>
    <w:link w:val="38"/>
    <w:uiPriority w:val="29"/>
    <w:qFormat/>
    <w:pPr>
      <w:ind w:left="720" w:right="720"/>
    </w:pPr>
    <w:rPr>
      <w:i/>
    </w:rPr>
  </w:style>
  <w:style w:type="character" w:styleId="38">
    <w:name w:val="Quote Char"/>
    <w:link w:val="37"/>
    <w:uiPriority w:val="29"/>
    <w:rPr>
      <w:i/>
    </w:rPr>
  </w:style>
  <w:style w:type="paragraph" w:styleId="39">
    <w:name w:val="Intense Quote"/>
    <w:basedOn w:val="729"/>
    <w:next w:val="729"/>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9"/>
    <w:link w:val="42"/>
    <w:uiPriority w:val="99"/>
    <w:unhideWhenUsed/>
    <w:pPr>
      <w:spacing w:after="0" w:line="240" w:lineRule="auto"/>
      <w:tabs>
        <w:tab w:val="center" w:pos="7143" w:leader="none"/>
        <w:tab w:val="right" w:pos="14287" w:leader="none"/>
      </w:tabs>
    </w:pPr>
  </w:style>
  <w:style w:type="character" w:styleId="42">
    <w:name w:val="Header Char"/>
    <w:basedOn w:val="733"/>
    <w:link w:val="41"/>
    <w:uiPriority w:val="99"/>
  </w:style>
  <w:style w:type="character" w:styleId="44">
    <w:name w:val="Footer Char"/>
    <w:basedOn w:val="733"/>
    <w:link w:val="742"/>
    <w:uiPriority w:val="99"/>
  </w:style>
  <w:style w:type="paragraph" w:styleId="45">
    <w:name w:val="Caption"/>
    <w:basedOn w:val="729"/>
    <w:next w:val="729"/>
    <w:uiPriority w:val="35"/>
    <w:semiHidden/>
    <w:unhideWhenUsed/>
    <w:qFormat/>
    <w:pPr>
      <w:spacing w:line="276" w:lineRule="auto"/>
    </w:pPr>
    <w:rPr>
      <w:b/>
      <w:bCs/>
      <w:color w:val="4f81bd" w:themeColor="accent1"/>
      <w:sz w:val="18"/>
      <w:szCs w:val="18"/>
    </w:rPr>
  </w:style>
  <w:style w:type="character" w:styleId="46">
    <w:name w:val="Caption Char"/>
    <w:basedOn w:val="45"/>
    <w:link w:val="742"/>
    <w:uiPriority w:val="99"/>
  </w:style>
  <w:style w:type="table" w:styleId="48">
    <w:name w:val="Table Grid Light"/>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9"/>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3"/>
    <w:uiPriority w:val="99"/>
    <w:unhideWhenUsed/>
    <w:rPr>
      <w:vertAlign w:val="superscript"/>
    </w:rPr>
  </w:style>
  <w:style w:type="paragraph" w:styleId="177">
    <w:name w:val="endnote text"/>
    <w:basedOn w:val="729"/>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3"/>
    <w:uiPriority w:val="99"/>
    <w:semiHidden/>
    <w:unhideWhenUsed/>
    <w:rPr>
      <w:vertAlign w:val="superscript"/>
    </w:rPr>
  </w:style>
  <w:style w:type="paragraph" w:styleId="180">
    <w:name w:val="toc 1"/>
    <w:basedOn w:val="729"/>
    <w:next w:val="729"/>
    <w:uiPriority w:val="39"/>
    <w:unhideWhenUsed/>
    <w:pPr>
      <w:ind w:left="0" w:right="0" w:firstLine="0"/>
      <w:spacing w:after="57"/>
    </w:pPr>
  </w:style>
  <w:style w:type="paragraph" w:styleId="181">
    <w:name w:val="toc 2"/>
    <w:basedOn w:val="729"/>
    <w:next w:val="729"/>
    <w:uiPriority w:val="39"/>
    <w:unhideWhenUsed/>
    <w:pPr>
      <w:ind w:left="283" w:right="0" w:firstLine="0"/>
      <w:spacing w:after="57"/>
    </w:pPr>
  </w:style>
  <w:style w:type="paragraph" w:styleId="182">
    <w:name w:val="toc 3"/>
    <w:basedOn w:val="729"/>
    <w:next w:val="729"/>
    <w:uiPriority w:val="39"/>
    <w:unhideWhenUsed/>
    <w:pPr>
      <w:ind w:left="567" w:right="0" w:firstLine="0"/>
      <w:spacing w:after="57"/>
    </w:pPr>
  </w:style>
  <w:style w:type="paragraph" w:styleId="183">
    <w:name w:val="toc 4"/>
    <w:basedOn w:val="729"/>
    <w:next w:val="729"/>
    <w:uiPriority w:val="39"/>
    <w:unhideWhenUsed/>
    <w:pPr>
      <w:ind w:left="850" w:right="0" w:firstLine="0"/>
      <w:spacing w:after="57"/>
    </w:pPr>
  </w:style>
  <w:style w:type="paragraph" w:styleId="184">
    <w:name w:val="toc 5"/>
    <w:basedOn w:val="729"/>
    <w:next w:val="729"/>
    <w:uiPriority w:val="39"/>
    <w:unhideWhenUsed/>
    <w:pPr>
      <w:ind w:left="1134" w:right="0" w:firstLine="0"/>
      <w:spacing w:after="57"/>
    </w:pPr>
  </w:style>
  <w:style w:type="paragraph" w:styleId="185">
    <w:name w:val="toc 6"/>
    <w:basedOn w:val="729"/>
    <w:next w:val="729"/>
    <w:uiPriority w:val="39"/>
    <w:unhideWhenUsed/>
    <w:pPr>
      <w:ind w:left="1417" w:right="0" w:firstLine="0"/>
      <w:spacing w:after="57"/>
    </w:pPr>
  </w:style>
  <w:style w:type="paragraph" w:styleId="186">
    <w:name w:val="toc 7"/>
    <w:basedOn w:val="729"/>
    <w:next w:val="729"/>
    <w:uiPriority w:val="39"/>
    <w:unhideWhenUsed/>
    <w:pPr>
      <w:ind w:left="1701" w:right="0" w:firstLine="0"/>
      <w:spacing w:after="57"/>
    </w:pPr>
  </w:style>
  <w:style w:type="paragraph" w:styleId="187">
    <w:name w:val="toc 8"/>
    <w:basedOn w:val="729"/>
    <w:next w:val="729"/>
    <w:uiPriority w:val="39"/>
    <w:unhideWhenUsed/>
    <w:pPr>
      <w:ind w:left="1984" w:right="0" w:firstLine="0"/>
      <w:spacing w:after="57"/>
    </w:pPr>
  </w:style>
  <w:style w:type="paragraph" w:styleId="188">
    <w:name w:val="toc 9"/>
    <w:basedOn w:val="729"/>
    <w:next w:val="729"/>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9"/>
    <w:next w:val="729"/>
    <w:uiPriority w:val="99"/>
    <w:unhideWhenUsed/>
    <w:pPr>
      <w:spacing w:after="0" w:afterAutospacing="0"/>
    </w:pPr>
  </w:style>
  <w:style w:type="paragraph" w:styleId="729" w:default="1">
    <w:name w:val="Normal"/>
    <w:qFormat/>
    <w:rPr>
      <w:lang w:val="uk-UA"/>
    </w:rPr>
  </w:style>
  <w:style w:type="paragraph" w:styleId="730">
    <w:name w:val="Heading 2"/>
    <w:basedOn w:val="729"/>
    <w:link w:val="75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1">
    <w:name w:val="Heading 3"/>
    <w:basedOn w:val="729"/>
    <w:next w:val="729"/>
    <w:link w:val="76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2">
    <w:name w:val="Heading 4"/>
    <w:basedOn w:val="729"/>
    <w:next w:val="729"/>
    <w:link w:val="76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3" w:default="1">
    <w:name w:val="Default Paragraph Font"/>
    <w:uiPriority w:val="1"/>
    <w:semiHidden/>
    <w:unhideWhenUsed/>
  </w:style>
  <w:style w:type="table" w:styleId="734" w:default="1">
    <w:name w:val="Normal Table"/>
    <w:uiPriority w:val="99"/>
    <w:semiHidden/>
    <w:unhideWhenUsed/>
    <w:tblPr>
      <w:tblInd w:w="0" w:type="dxa"/>
      <w:tblCellMar>
        <w:left w:w="108" w:type="dxa"/>
        <w:top w:w="0" w:type="dxa"/>
        <w:right w:w="108" w:type="dxa"/>
        <w:bottom w:w="0" w:type="dxa"/>
      </w:tblCellMar>
    </w:tblPr>
  </w:style>
  <w:style w:type="numbering" w:styleId="735" w:default="1">
    <w:name w:val="No List"/>
    <w:uiPriority w:val="99"/>
    <w:semiHidden/>
    <w:unhideWhenUsed/>
  </w:style>
  <w:style w:type="paragraph" w:styleId="736">
    <w:name w:val="List Paragraph"/>
    <w:basedOn w:val="729"/>
    <w:link w:val="737"/>
    <w:uiPriority w:val="34"/>
    <w:qFormat/>
    <w:pPr>
      <w:contextualSpacing/>
      <w:ind w:left="720"/>
      <w:spacing w:after="200" w:line="276" w:lineRule="auto"/>
    </w:pPr>
    <w:rPr>
      <w:rFonts w:ascii="Calibri" w:hAnsi="Calibri" w:eastAsia="Calibri" w:cs="Calibri"/>
      <w:lang w:val="ru-RU" w:eastAsia="zh-CN"/>
    </w:rPr>
  </w:style>
  <w:style w:type="character" w:styleId="737" w:customStyle="1">
    <w:name w:val="Абзац списку Знак"/>
    <w:link w:val="736"/>
    <w:uiPriority w:val="34"/>
    <w:qFormat/>
    <w:rPr>
      <w:rFonts w:ascii="Calibri" w:hAnsi="Calibri" w:eastAsia="Calibri" w:cs="Calibri"/>
      <w:lang w:eastAsia="zh-CN"/>
    </w:rPr>
  </w:style>
  <w:style w:type="table" w:styleId="738">
    <w:name w:val="Table Grid"/>
    <w:basedOn w:val="73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9" w:customStyle="1">
    <w:name w:val="Сетка таблицы2"/>
    <w:basedOn w:val="734"/>
    <w:next w:val="73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Normal (Web)"/>
    <w:basedOn w:val="729"/>
    <w:link w:val="747"/>
    <w:unhideWhenUsed/>
    <w:qFormat/>
    <w:rPr>
      <w:rFonts w:ascii="Times New Roman" w:hAnsi="Times New Roman" w:cs="Times New Roman"/>
      <w:sz w:val="24"/>
      <w:szCs w:val="24"/>
    </w:rPr>
  </w:style>
  <w:style w:type="table" w:styleId="741" w:customStyle="1">
    <w:name w:val="Сетка таблицы1"/>
    <w:basedOn w:val="734"/>
    <w:next w:val="73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2">
    <w:name w:val="Footer"/>
    <w:basedOn w:val="729"/>
    <w:link w:val="74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3" w:customStyle="1">
    <w:name w:val="Нижній колонтитул Знак"/>
    <w:basedOn w:val="733"/>
    <w:link w:val="742"/>
    <w:uiPriority w:val="99"/>
    <w:rPr>
      <w:rFonts w:ascii="Calibri" w:hAnsi="Calibri" w:eastAsia="Calibri" w:cs="Calibri"/>
      <w:lang w:eastAsia="zh-CN"/>
    </w:rPr>
  </w:style>
  <w:style w:type="paragraph" w:styleId="74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5">
    <w:name w:val="Hyperlink"/>
    <w:basedOn w:val="733"/>
    <w:uiPriority w:val="99"/>
    <w:unhideWhenUsed/>
    <w:rPr>
      <w:color w:val="0563c1" w:themeColor="hyperlink"/>
      <w:u w:val="single"/>
    </w:rPr>
  </w:style>
  <w:style w:type="character" w:styleId="746" w:customStyle="1">
    <w:name w:val="xfm_93972720"/>
    <w:basedOn w:val="733"/>
  </w:style>
  <w:style w:type="character" w:styleId="747" w:customStyle="1">
    <w:name w:val="Звичайний (веб) Знак"/>
    <w:link w:val="740"/>
    <w:qFormat/>
    <w:rPr>
      <w:rFonts w:ascii="Times New Roman" w:hAnsi="Times New Roman" w:cs="Times New Roman"/>
      <w:sz w:val="24"/>
      <w:szCs w:val="24"/>
      <w:lang w:val="uk-UA"/>
    </w:rPr>
  </w:style>
  <w:style w:type="paragraph" w:styleId="748">
    <w:name w:val="Body Text 2"/>
    <w:basedOn w:val="729"/>
    <w:link w:val="749"/>
    <w:pPr>
      <w:spacing w:after="0" w:line="240" w:lineRule="auto"/>
    </w:pPr>
    <w:rPr>
      <w:rFonts w:ascii="Times New Roman" w:hAnsi="Times New Roman" w:eastAsia="Times New Roman" w:cs="Times New Roman"/>
      <w:sz w:val="28"/>
      <w:szCs w:val="20"/>
      <w:lang w:val="ru-RU" w:eastAsia="ru-RU"/>
    </w:rPr>
  </w:style>
  <w:style w:type="character" w:styleId="749" w:customStyle="1">
    <w:name w:val="Основний текст 2 Знак"/>
    <w:basedOn w:val="733"/>
    <w:link w:val="748"/>
    <w:rPr>
      <w:rFonts w:ascii="Times New Roman" w:hAnsi="Times New Roman" w:eastAsia="Times New Roman" w:cs="Times New Roman"/>
      <w:sz w:val="28"/>
      <w:szCs w:val="20"/>
      <w:lang w:eastAsia="ru-RU"/>
    </w:rPr>
  </w:style>
  <w:style w:type="paragraph" w:styleId="75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1" w:customStyle="1">
    <w:name w:val="Заголовок 2 Знак"/>
    <w:basedOn w:val="733"/>
    <w:link w:val="730"/>
    <w:uiPriority w:val="9"/>
    <w:rPr>
      <w:rFonts w:ascii="Times New Roman" w:hAnsi="Times New Roman" w:eastAsia="Times New Roman" w:cs="Times New Roman"/>
      <w:b/>
      <w:bCs/>
      <w:sz w:val="36"/>
      <w:szCs w:val="36"/>
      <w:lang w:val="uk-UA" w:eastAsia="uk-UA"/>
    </w:rPr>
  </w:style>
  <w:style w:type="paragraph" w:styleId="752">
    <w:name w:val="No Spacing"/>
    <w:link w:val="753"/>
    <w:uiPriority w:val="1"/>
    <w:qFormat/>
    <w:pPr>
      <w:spacing w:after="0" w:line="240" w:lineRule="auto"/>
    </w:pPr>
    <w:rPr>
      <w:rFonts w:ascii="Calibri" w:hAnsi="Calibri" w:eastAsia="Calibri" w:cs="Times New Roman"/>
      <w:lang w:val="uk-UA"/>
    </w:rPr>
  </w:style>
  <w:style w:type="character" w:styleId="753" w:customStyle="1">
    <w:name w:val="Без інтервалів Знак"/>
    <w:basedOn w:val="733"/>
    <w:link w:val="752"/>
    <w:uiPriority w:val="1"/>
    <w:rPr>
      <w:rFonts w:ascii="Calibri" w:hAnsi="Calibri" w:eastAsia="Calibri" w:cs="Times New Roman"/>
      <w:lang w:val="uk-UA"/>
    </w:rPr>
  </w:style>
  <w:style w:type="character" w:styleId="754" w:customStyle="1">
    <w:name w:val="Другое_"/>
    <w:basedOn w:val="733"/>
    <w:link w:val="755"/>
    <w:rPr>
      <w:rFonts w:ascii="Calibri" w:hAnsi="Calibri" w:eastAsia="Calibri" w:cs="Calibri"/>
      <w:sz w:val="20"/>
      <w:szCs w:val="20"/>
    </w:rPr>
  </w:style>
  <w:style w:type="paragraph" w:styleId="755" w:customStyle="1">
    <w:name w:val="Другое"/>
    <w:basedOn w:val="729"/>
    <w:link w:val="754"/>
    <w:qFormat/>
    <w:pPr>
      <w:spacing w:after="0" w:line="240" w:lineRule="auto"/>
      <w:widowControl w:val="off"/>
    </w:pPr>
    <w:rPr>
      <w:rFonts w:ascii="Calibri" w:hAnsi="Calibri" w:eastAsia="Calibri" w:cs="Calibri"/>
      <w:sz w:val="20"/>
      <w:szCs w:val="20"/>
      <w:lang w:val="ru-RU"/>
    </w:rPr>
  </w:style>
  <w:style w:type="paragraph" w:styleId="75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7" w:customStyle="1">
    <w:name w:val="Основной текст (2)_"/>
    <w:basedOn w:val="733"/>
    <w:link w:val="758"/>
    <w:rPr>
      <w:rFonts w:eastAsia="Times New Roman" w:cs="Times New Roman"/>
      <w:shd w:val="clear" w:color="auto" w:fill="ffffff"/>
    </w:rPr>
  </w:style>
  <w:style w:type="paragraph" w:styleId="758" w:customStyle="1">
    <w:name w:val="Основной текст (2)"/>
    <w:basedOn w:val="729"/>
    <w:link w:val="757"/>
    <w:pPr>
      <w:ind w:hanging="700"/>
      <w:jc w:val="both"/>
      <w:spacing w:before="240" w:after="480" w:line="0" w:lineRule="atLeast"/>
      <w:shd w:val="clear" w:color="auto" w:fill="ffffff"/>
      <w:widowControl w:val="off"/>
    </w:pPr>
    <w:rPr>
      <w:rFonts w:eastAsia="Times New Roman" w:cs="Times New Roman"/>
      <w:lang w:val="ru-RU"/>
    </w:rPr>
  </w:style>
  <w:style w:type="character" w:styleId="759" w:customStyle="1">
    <w:name w:val="Текст у виносці Знак"/>
    <w:basedOn w:val="733"/>
    <w:link w:val="760"/>
    <w:uiPriority w:val="99"/>
    <w:semiHidden/>
    <w:rPr>
      <w:rFonts w:ascii="Segoe UI" w:hAnsi="Segoe UI" w:eastAsia="Times New Roman" w:cs="Segoe UI"/>
      <w:sz w:val="18"/>
      <w:szCs w:val="18"/>
      <w:lang w:eastAsia="ru-RU"/>
    </w:rPr>
  </w:style>
  <w:style w:type="paragraph" w:styleId="760">
    <w:name w:val="Balloon Text"/>
    <w:basedOn w:val="729"/>
    <w:link w:val="75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1" w:customStyle="1">
    <w:name w:val="Текст у виносці Знак1"/>
    <w:basedOn w:val="733"/>
    <w:uiPriority w:val="99"/>
    <w:semiHidden/>
    <w:rPr>
      <w:rFonts w:ascii="Segoe UI" w:hAnsi="Segoe UI" w:cs="Segoe UI"/>
      <w:sz w:val="18"/>
      <w:szCs w:val="18"/>
      <w:lang w:val="uk-UA"/>
    </w:rPr>
  </w:style>
  <w:style w:type="character" w:styleId="762" w:customStyle="1">
    <w:name w:val="T23"/>
    <w:rPr>
      <w:rFonts w:hint="default" w:ascii="Times New Roman" w:hAnsi="Times New Roman" w:eastAsia="Times New Roman1" w:cs="Times New Roman"/>
    </w:rPr>
  </w:style>
  <w:style w:type="paragraph" w:styleId="763" w:customStyle="1">
    <w:name w:val="Абзац списку1"/>
    <w:basedOn w:val="729"/>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4" w:customStyle="1">
    <w:name w:val="markedcontent"/>
    <w:basedOn w:val="733"/>
  </w:style>
  <w:style w:type="paragraph" w:styleId="765">
    <w:name w:val="annotation text"/>
    <w:basedOn w:val="729"/>
    <w:link w:val="76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6" w:customStyle="1">
    <w:name w:val="Текст примітки Знак"/>
    <w:basedOn w:val="733"/>
    <w:link w:val="765"/>
    <w:uiPriority w:val="99"/>
    <w:rPr>
      <w:rFonts w:ascii="Times New Roman" w:hAnsi="Times New Roman" w:eastAsia="Times New Roman" w:cs="Times New Roman"/>
      <w:sz w:val="20"/>
      <w:szCs w:val="20"/>
      <w:lang w:eastAsia="ru-RU"/>
    </w:rPr>
  </w:style>
  <w:style w:type="character" w:styleId="767" w:customStyle="1">
    <w:name w:val="docdata"/>
    <w:basedOn w:val="733"/>
  </w:style>
  <w:style w:type="character" w:styleId="768" w:customStyle="1">
    <w:name w:val="Заголовок 3 Знак"/>
    <w:basedOn w:val="733"/>
    <w:link w:val="731"/>
    <w:uiPriority w:val="9"/>
    <w:semiHidden/>
    <w:rPr>
      <w:rFonts w:asciiTheme="majorHAnsi" w:hAnsiTheme="majorHAnsi" w:eastAsiaTheme="majorEastAsia" w:cstheme="majorBidi"/>
      <w:color w:val="1f4d78" w:themeColor="accent1" w:themeShade="7F"/>
      <w:sz w:val="24"/>
      <w:szCs w:val="24"/>
      <w:lang w:val="uk-UA"/>
    </w:rPr>
  </w:style>
  <w:style w:type="character" w:styleId="769" w:customStyle="1">
    <w:name w:val="Заголовок 4 Знак"/>
    <w:basedOn w:val="733"/>
    <w:link w:val="732"/>
    <w:uiPriority w:val="9"/>
    <w:semiHidden/>
    <w:rPr>
      <w:rFonts w:asciiTheme="majorHAnsi" w:hAnsiTheme="majorHAnsi" w:eastAsiaTheme="majorEastAsia" w:cstheme="majorBidi"/>
      <w:i/>
      <w:iCs/>
      <w:color w:val="2e74b5" w:themeColor="accent1" w:themeShade="BF"/>
      <w:lang w:val="uk-UA"/>
    </w:rPr>
  </w:style>
  <w:style w:type="paragraph" w:styleId="770" w:customStyle="1">
    <w:name w:val="name-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1" w:customStyle="1">
    <w:name w:val="cont-spec"/>
    <w:basedOn w:val="729"/>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2">
    <w:name w:val="Strong"/>
    <w:basedOn w:val="733"/>
    <w:uiPriority w:val="22"/>
    <w:qFormat/>
    <w:rPr>
      <w:b/>
      <w:bCs/>
    </w:rPr>
  </w:style>
  <w:style w:type="paragraph" w:styleId="773" w:customStyle="1">
    <w:name w:val="rvps6"/>
    <w:basedOn w:val="729"/>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168</cp:revision>
  <dcterms:created xsi:type="dcterms:W3CDTF">2022-11-01T12:47:00Z</dcterms:created>
  <dcterms:modified xsi:type="dcterms:W3CDTF">2024-09-03T08:35:24Z</dcterms:modified>
</cp:coreProperties>
</file>