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rPr>
        <w:t xml:space="preserve">Послуги з проведення </w:t>
      </w:r>
      <w:r>
        <w:rPr>
          <w:b w:val="0"/>
          <w:bCs w:val="0"/>
          <w:sz w:val="24"/>
          <w:szCs w:val="24"/>
        </w:rPr>
        <w:t xml:space="preserve">експертизи стану охорони праці та безпеки промислового виробництва суб’єкта господарювання під час експлуатації устаткування підвищеної небезпеки, а саме ліфт</w:t>
      </w:r>
      <w:r>
        <w:rPr>
          <w:b w:val="0"/>
          <w:bCs w:val="0"/>
          <w:color w:val="000000"/>
          <w:sz w:val="24"/>
          <w:szCs w:val="24"/>
        </w:rPr>
        <w:t xml:space="preserve"> за кодом CPV за ЄЗС ДК 021:2015: 71630000-3 </w:t>
      </w:r>
      <w:r>
        <w:rPr>
          <w:b w:val="0"/>
          <w:bCs w:val="0"/>
          <w:sz w:val="24"/>
          <w:szCs w:val="24"/>
        </w:rPr>
        <w:t xml:space="preserve">Послуги з технічного огляду та </w:t>
      </w:r>
      <w:r>
        <w:rPr>
          <w:b w:val="0"/>
          <w:bCs w:val="0"/>
          <w:sz w:val="24"/>
          <w:szCs w:val="24"/>
        </w:rPr>
        <w:t xml:space="preserve">випробовувань</w:t>
      </w:r>
      <w:r>
        <w:rPr>
          <w:b w:val="0"/>
          <w:bCs w:val="0"/>
          <w:color w:val="00000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05</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2294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olor w:val="000000"/>
          <w:sz w:val="24"/>
          <w:szCs w:val="24"/>
        </w:rPr>
        <w:t xml:space="preserve">Послуги з проведення </w:t>
      </w:r>
      <w:r>
        <w:rPr>
          <w:rFonts w:ascii="Times New Roman" w:hAnsi="Times New Roman"/>
          <w:sz w:val="24"/>
          <w:szCs w:val="24"/>
        </w:rPr>
        <w:t xml:space="preserve">експертизи стану охорони праці та безпеки промислового виробництва суб’єкта господарювання під час експлуатації устаткування підвищеної небезпеки, а саме ліфт</w:t>
      </w:r>
      <w:r>
        <w:rPr>
          <w:rFonts w:ascii="Times New Roman" w:hAnsi="Times New Roman"/>
          <w:color w:val="000000"/>
          <w:sz w:val="24"/>
          <w:szCs w:val="24"/>
        </w:rPr>
        <w:t xml:space="preserve"> за кодом CPV за ЄЗС ДК 021:2015: 71630000-3 </w:t>
      </w:r>
      <w:r>
        <w:rPr>
          <w:rFonts w:ascii="Times New Roman" w:hAnsi="Times New Roman"/>
          <w:sz w:val="24"/>
          <w:szCs w:val="24"/>
        </w:rPr>
        <w:t xml:space="preserve">Послуги з технічного огляду та </w:t>
      </w:r>
      <w:r>
        <w:rPr>
          <w:rFonts w:ascii="Times New Roman" w:hAnsi="Times New Roman"/>
          <w:sz w:val="24"/>
          <w:szCs w:val="24"/>
        </w:rPr>
        <w:t xml:space="preserve">випробовувань</w:t>
      </w:r>
      <w:r>
        <w:rPr>
          <w:rFonts w:ascii="Times New Roman" w:hAnsi="Times New Roman"/>
          <w:color w:val="000000"/>
          <w:sz w:val="24"/>
          <w:szCs w:val="24"/>
        </w:rPr>
        <w:t xml:space="preserve">.</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tbl>
      <w:tblPr>
        <w:tblW w:w="975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7346"/>
        <w:gridCol w:w="992"/>
        <w:gridCol w:w="850"/>
      </w:tblGrid>
      <w:tr>
        <w:trPr>
          <w:trHeight w:val="248"/>
        </w:trPr>
        <w:tc>
          <w:tcPr>
            <w:shd w:val="clear" w:color="auto" w:fill="auto"/>
            <w:tcW w:w="568" w:type="dxa"/>
            <w:vAlign w:val="center"/>
            <w:textDirection w:val="lrTb"/>
            <w:noWrap/>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w:t>
            </w:r>
            <w:r/>
          </w:p>
        </w:tc>
        <w:tc>
          <w:tcPr>
            <w:shd w:val="clear" w:color="auto" w:fill="auto"/>
            <w:tcW w:w="7346"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w:t>
            </w:r>
            <w:r/>
          </w:p>
        </w:tc>
        <w:tc>
          <w:tcPr>
            <w:shd w:val="clear" w:color="auto" w:fill="auto"/>
            <w:tcW w:w="992"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Од. виміру</w:t>
            </w:r>
            <w:r/>
          </w:p>
        </w:tc>
        <w:tc>
          <w:tcPr>
            <w:shd w:val="clear" w:color="auto" w:fill="auto"/>
            <w:tcW w:w="850" w:type="dxa"/>
            <w:vAlign w:val="center"/>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rHeight w:val="339"/>
        </w:trPr>
        <w:tc>
          <w:tcPr>
            <w:shd w:val="clear" w:color="auto" w:fill="auto"/>
            <w:tcW w:w="568" w:type="dxa"/>
            <w:vAlign w:val="center"/>
            <w:textDirection w:val="lrTb"/>
            <w:noWrap/>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1</w:t>
            </w:r>
            <w:r/>
          </w:p>
        </w:tc>
        <w:tc>
          <w:tcPr>
            <w:shd w:val="clear" w:color="auto" w:fill="auto"/>
            <w:tcW w:w="7346" w:type="dxa"/>
            <w:vAlign w:val="center"/>
            <w:textDirection w:val="lrTb"/>
            <w:noWrap w:val="false"/>
          </w:tcPr>
          <w:p>
            <w:pPr>
              <w:rPr>
                <w:rFonts w:ascii="Times New Roman" w:hAnsi="Times New Roman" w:cs="Times New Roman"/>
                <w:b/>
                <w:sz w:val="24"/>
                <w:szCs w:val="24"/>
                <w:highlight w:val="yellow"/>
              </w:rPr>
              <w:outlineLvl w:val="1"/>
            </w:pPr>
            <w:r>
              <w:rPr>
                <w:rFonts w:ascii="Times New Roman" w:hAnsi="Times New Roman"/>
                <w:b/>
                <w:bCs/>
              </w:rPr>
              <w:t xml:space="preserve">Експертиза стану охорони праці та безпеки промислового виробництва суб'єкта господарювання під ча</w:t>
            </w:r>
            <w:r>
              <w:rPr>
                <w:rFonts w:ascii="Times New Roman" w:hAnsi="Times New Roman"/>
                <w:b/>
                <w:bCs/>
              </w:rPr>
              <w:t xml:space="preserve">с експлуатації устаткування підвищеної небезпеки, а саме: Ліфт (зав.№ 2023/0287, рік виготовлення 2023, електричний пасажирський MRL/SNL 2000 630, кількість поверхів – 3, без машинного приміщення, країна виробник Туреччина, який встановлений на об’єкті за </w:t>
            </w:r>
            <w:r>
              <w:rPr>
                <w:rFonts w:ascii="Times New Roman" w:hAnsi="Times New Roman"/>
                <w:b/>
                <w:bCs/>
              </w:rPr>
              <w:t xml:space="preserve">адресою</w:t>
            </w:r>
            <w:r>
              <w:rPr>
                <w:rFonts w:ascii="Times New Roman" w:hAnsi="Times New Roman"/>
                <w:b/>
                <w:bCs/>
              </w:rPr>
              <w:t xml:space="preserve">: м. Київ, вул. Волинська, 26)</w:t>
            </w:r>
            <w:r/>
          </w:p>
        </w:tc>
        <w:tc>
          <w:tcPr>
            <w:shd w:val="clear" w:color="auto" w:fill="auto"/>
            <w:tcW w:w="992"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послуга</w:t>
            </w:r>
            <w:r/>
          </w:p>
        </w:tc>
        <w:tc>
          <w:tcPr>
            <w:shd w:val="clear" w:color="auto" w:fill="auto"/>
            <w:tcW w:w="850" w:type="dxa"/>
            <w:vAlign w:val="center"/>
            <w:textDirection w:val="lrTb"/>
            <w:noWrap w:val="false"/>
          </w:tcPr>
          <w:p>
            <w:pPr>
              <w:jc w:val="center"/>
              <w:rPr>
                <w:rFonts w:ascii="Times New Roman" w:hAnsi="Times New Roman" w:cs="Times New Roman"/>
                <w:b/>
                <w:sz w:val="24"/>
                <w:szCs w:val="24"/>
              </w:rPr>
            </w:pPr>
            <w:r>
              <w:rPr>
                <w:rFonts w:ascii="Times New Roman" w:hAnsi="Times New Roman" w:cs="Times New Roman"/>
                <w:b/>
                <w:sz w:val="24"/>
                <w:szCs w:val="24"/>
              </w:rPr>
              <w:t xml:space="preserve">1</w:t>
            </w:r>
            <w:r/>
          </w:p>
        </w:tc>
      </w:tr>
    </w:tbl>
    <w:p>
      <w:pPr>
        <w:rPr>
          <w:rFonts w:ascii="Times New Roman" w:hAnsi="Times New Roman"/>
          <w:b/>
          <w:sz w:val="32"/>
          <w:szCs w:val="32"/>
          <w:lang w:eastAsia="uk-UA"/>
        </w:rPr>
      </w:pPr>
      <w:r>
        <w:rPr>
          <w:rFonts w:ascii="Times New Roman" w:hAnsi="Times New Roman"/>
          <w:b/>
          <w:sz w:val="32"/>
          <w:szCs w:val="32"/>
          <w:lang w:eastAsia="uk-UA"/>
        </w:rPr>
      </w:r>
      <w:r/>
    </w:p>
    <w:p>
      <w:pPr>
        <w:jc w:val="center"/>
        <w:spacing w:after="0" w:line="240" w:lineRule="auto"/>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 xml:space="preserve">ТЕХНІЧНА СПЕЦИФІКАЦІЯ</w:t>
      </w:r>
      <w:r/>
    </w:p>
    <w:p>
      <w:pPr>
        <w:jc w:val="both"/>
        <w:spacing w:after="0" w:line="240" w:lineRule="auto"/>
        <w:rPr>
          <w:rFonts w:ascii="Times New Roman" w:hAnsi="Times New Roman" w:cs="Times New Roman"/>
          <w:bCs/>
          <w:i/>
          <w:sz w:val="24"/>
          <w:szCs w:val="24"/>
        </w:rPr>
      </w:pPr>
      <w:r>
        <w:rPr>
          <w:rFonts w:ascii="Times New Roman" w:hAnsi="Times New Roman" w:cs="Times New Roman"/>
          <w:bCs/>
          <w:i/>
          <w:sz w:val="24"/>
          <w:szCs w:val="24"/>
        </w:rPr>
      </w:r>
      <w:r/>
    </w:p>
    <w:p>
      <w:pPr>
        <w:ind w:firstLine="567"/>
        <w:jc w:val="both"/>
        <w:spacing w:after="0" w:line="240" w:lineRule="auto"/>
        <w:rPr>
          <w:rFonts w:ascii="Times New Roman" w:hAnsi="Times New Roman" w:cs="Times New Roman"/>
          <w:bCs/>
          <w:sz w:val="24"/>
          <w:szCs w:val="24"/>
          <w:u w:val="single"/>
        </w:rPr>
      </w:pPr>
      <w:r>
        <w:rPr>
          <w:rFonts w:ascii="Times New Roman" w:hAnsi="Times New Roman" w:cs="Times New Roman"/>
          <w:bCs/>
          <w:i/>
          <w:sz w:val="24"/>
          <w:szCs w:val="24"/>
        </w:rPr>
        <w:t xml:space="preserve">1. Предмет закупівлі:</w:t>
      </w:r>
      <w:r>
        <w:rPr>
          <w:rFonts w:ascii="Times New Roman" w:hAnsi="Times New Roman" w:cs="Times New Roman"/>
          <w:bCs/>
          <w:sz w:val="24"/>
          <w:szCs w:val="24"/>
          <w:u w:val="single"/>
        </w:rPr>
        <w:t xml:space="preserve">  </w:t>
      </w:r>
      <w:r/>
    </w:p>
    <w:p>
      <w:pPr>
        <w:ind w:firstLine="567"/>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Експертний висновок стану охорони праці та безпеки промислового виробництва  виконується з метою визначення технічного стану ліфтів, підготовки рішення щодо умов і строку їх подальшої безпечної екс</w:t>
      </w:r>
      <w:r>
        <w:rPr>
          <w:rFonts w:ascii="Times New Roman" w:hAnsi="Times New Roman" w:cs="Times New Roman"/>
          <w:sz w:val="24"/>
          <w:szCs w:val="24"/>
          <w:shd w:val="clear" w:color="auto" w:fill="ffffff"/>
        </w:rPr>
        <w:t xml:space="preserve">плуатації з урахуванням умов експлуатації та експлуатаційних режимів, визначення заходів щодо забезпечення безпечної експлуатації ліфтів на продовжуваний строк, а також потреби в проведенні ремонту, реконструкції, модернізації або виведення з експлуатації.</w:t>
      </w:r>
      <w:r/>
    </w:p>
    <w:p>
      <w:pPr>
        <w:ind w:firstLine="567"/>
        <w:jc w:val="both"/>
        <w:spacing w:after="0" w:line="240" w:lineRule="auto"/>
        <w:rPr>
          <w:rFonts w:ascii="Times New Roman" w:hAnsi="Times New Roman" w:cs="Times New Roman"/>
          <w:bCs/>
          <w:i/>
          <w:sz w:val="24"/>
          <w:szCs w:val="24"/>
        </w:rPr>
      </w:pPr>
      <w:r>
        <w:rPr>
          <w:rFonts w:ascii="Times New Roman" w:hAnsi="Times New Roman" w:cs="Times New Roman"/>
          <w:bCs/>
          <w:i/>
          <w:sz w:val="24"/>
          <w:szCs w:val="24"/>
        </w:rPr>
      </w:r>
      <w:r/>
    </w:p>
    <w:p>
      <w:pPr>
        <w:ind w:firstLine="567"/>
        <w:jc w:val="both"/>
        <w:spacing w:after="0" w:line="240" w:lineRule="auto"/>
        <w:rPr>
          <w:rFonts w:ascii="Times New Roman" w:hAnsi="Times New Roman" w:cs="Times New Roman"/>
          <w:bCs/>
          <w:sz w:val="24"/>
          <w:szCs w:val="24"/>
        </w:rPr>
      </w:pPr>
      <w:r>
        <w:rPr>
          <w:rFonts w:ascii="Times New Roman" w:hAnsi="Times New Roman" w:cs="Times New Roman"/>
          <w:bCs/>
          <w:i/>
          <w:sz w:val="24"/>
          <w:szCs w:val="24"/>
        </w:rPr>
        <w:t xml:space="preserve">2. Строк надання послуг:</w:t>
      </w:r>
      <w:r>
        <w:rPr>
          <w:rFonts w:ascii="Times New Roman" w:hAnsi="Times New Roman" w:cs="Times New Roman"/>
          <w:bCs/>
          <w:sz w:val="24"/>
          <w:szCs w:val="24"/>
        </w:rPr>
        <w:t xml:space="preserve"> до 15 вересня 2024 року.</w:t>
      </w:r>
      <w:r/>
    </w:p>
    <w:p>
      <w:pPr>
        <w:ind w:firstLine="567"/>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Виконавець надає Послуги Замовнику впродовж дії Договору.</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r>
      <w:r/>
    </w:p>
    <w:p>
      <w:pPr>
        <w:ind w:firstLine="567"/>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3. Склад робіт під час проведення експертизи: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 час експертизи стану охорони праці та безпеки ліфтів здійснюються такі роботи:</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вивчення експлуатаційних, конструкторських, ремонтних та інших документів, які містять дані про ліфт протягом усього періоду експлуатації;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перевірка організації безпечної експлуатації, технічного обслуговування та ремонту ліфта;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аналіз умов та режимів експлуатації;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проведення огляду ліфта та його складових частин;</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проведення неруйнівного контролю несучих металевих конструкцій і обладнання (за необхідності);</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здійснення розрахунково-аналітичних процедур оцінки та прогнозування технічного стану ліфта;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підготовлення рішення щодо умов і  строку  подальшої  безпечної експлуатації;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w:t>
      </w:r>
      <w:r>
        <w:rPr>
          <w:rFonts w:ascii="Times New Roman" w:hAnsi="Times New Roman" w:cs="Times New Roman"/>
          <w:sz w:val="24"/>
          <w:szCs w:val="24"/>
        </w:rPr>
        <w:tab/>
        <w:t xml:space="preserve">оформлення висновку експертизи та звітування по результатам експертного обстеження.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Залежно від мети та причин проведення експертизи склад робіт може </w:t>
      </w:r>
      <w:r>
        <w:rPr>
          <w:rFonts w:ascii="Times New Roman" w:hAnsi="Times New Roman" w:cs="Times New Roman"/>
          <w:sz w:val="24"/>
          <w:szCs w:val="24"/>
        </w:rPr>
        <w:t xml:space="preserve">уточнюватися</w:t>
      </w:r>
      <w:r>
        <w:rPr>
          <w:rFonts w:ascii="Times New Roman" w:hAnsi="Times New Roman" w:cs="Times New Roman"/>
          <w:sz w:val="24"/>
          <w:szCs w:val="24"/>
        </w:rPr>
        <w:t xml:space="preserve"> під час розроблення програми робіт за результатами  експертного обстеження.</w:t>
      </w:r>
      <w:r/>
    </w:p>
    <w:p>
      <w:pPr>
        <w:ind w:firstLine="567"/>
        <w:jc w:val="both"/>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r>
      <w:r/>
    </w:p>
    <w:p>
      <w:pPr>
        <w:ind w:firstLine="567"/>
        <w:jc w:val="both"/>
        <w:spacing w:after="0" w:line="240" w:lineRule="auto"/>
        <w:rPr>
          <w:rFonts w:ascii="Times New Roman" w:hAnsi="Times New Roman" w:cs="Times New Roman"/>
          <w:spacing w:val="-6"/>
          <w:sz w:val="24"/>
          <w:szCs w:val="24"/>
        </w:rPr>
      </w:pPr>
      <w:r>
        <w:rPr>
          <w:rFonts w:ascii="Times New Roman" w:hAnsi="Times New Roman" w:cs="Times New Roman"/>
          <w:i/>
          <w:color w:val="000000"/>
          <w:sz w:val="24"/>
          <w:szCs w:val="24"/>
        </w:rPr>
        <w:t xml:space="preserve">4.</w:t>
      </w:r>
      <w:r>
        <w:rPr>
          <w:rFonts w:ascii="Times New Roman" w:hAnsi="Times New Roman" w:cs="Times New Roman"/>
          <w:color w:val="000000"/>
          <w:sz w:val="24"/>
          <w:szCs w:val="24"/>
        </w:rPr>
        <w:t xml:space="preserve"> Результати експертизи ліфта </w:t>
      </w:r>
      <w:r>
        <w:rPr>
          <w:rFonts w:ascii="Times New Roman" w:hAnsi="Times New Roman" w:cs="Times New Roman"/>
          <w:color w:val="000000"/>
          <w:spacing w:val="3"/>
          <w:sz w:val="24"/>
          <w:szCs w:val="24"/>
        </w:rPr>
        <w:t xml:space="preserve">оформлюються </w:t>
      </w:r>
      <w:r>
        <w:rPr>
          <w:rFonts w:ascii="Times New Roman" w:hAnsi="Times New Roman" w:cs="Times New Roman"/>
          <w:color w:val="000000"/>
          <w:sz w:val="24"/>
          <w:szCs w:val="24"/>
        </w:rPr>
        <w:t xml:space="preserve">висновком експертизи.</w:t>
      </w:r>
      <w:r>
        <w:rPr>
          <w:rFonts w:ascii="Times New Roman" w:hAnsi="Times New Roman" w:cs="Times New Roman"/>
          <w:spacing w:val="-4"/>
          <w:sz w:val="24"/>
          <w:szCs w:val="24"/>
        </w:rPr>
        <w:t xml:space="preserve"> Форму </w:t>
      </w:r>
      <w:r>
        <w:rPr>
          <w:rFonts w:ascii="Times New Roman" w:hAnsi="Times New Roman" w:cs="Times New Roman"/>
          <w:sz w:val="24"/>
          <w:szCs w:val="24"/>
        </w:rPr>
        <w:t xml:space="preserve">висновку експертизи визначає експертна організація (Виконавець) з урахуванням рекомендацій </w:t>
      </w:r>
      <w:r>
        <w:rPr>
          <w:rFonts w:ascii="Times New Roman" w:hAnsi="Times New Roman" w:cs="Times New Roman"/>
          <w:spacing w:val="-6"/>
          <w:sz w:val="24"/>
          <w:szCs w:val="24"/>
        </w:rPr>
        <w:t xml:space="preserve">Методики</w:t>
      </w:r>
      <w:r>
        <w:rPr>
          <w:rFonts w:ascii="Times New Roman" w:hAnsi="Times New Roman" w:cs="Times New Roman"/>
          <w:color w:val="000000"/>
          <w:sz w:val="24"/>
          <w:szCs w:val="24"/>
        </w:rPr>
        <w:t xml:space="preserve"> </w:t>
      </w:r>
      <w:r>
        <w:rPr>
          <w:rFonts w:ascii="Times New Roman" w:hAnsi="Times New Roman" w:cs="Times New Roman"/>
          <w:spacing w:val="-6"/>
          <w:sz w:val="24"/>
          <w:szCs w:val="24"/>
        </w:rPr>
        <w:t xml:space="preserve">проведення експертного обстеження (технічного діагностування) ліфтів. </w:t>
      </w:r>
      <w:r/>
    </w:p>
    <w:p>
      <w:pPr>
        <w:ind w:firstLine="567"/>
        <w:jc w:val="both"/>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Виконання робіт дозволяється тільки спеціалізованим організаціям, які мають Дозвіл (Декларацію) </w:t>
      </w:r>
      <w:r>
        <w:rPr>
          <w:rFonts w:ascii="Times New Roman" w:hAnsi="Times New Roman" w:cs="Times New Roman"/>
          <w:b/>
          <w:i/>
          <w:sz w:val="24"/>
          <w:szCs w:val="24"/>
        </w:rPr>
        <w:t xml:space="preserve">Держпраці</w:t>
      </w:r>
      <w:r>
        <w:rPr>
          <w:rFonts w:ascii="Times New Roman" w:hAnsi="Times New Roman" w:cs="Times New Roman"/>
          <w:b/>
          <w:i/>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i/>
          <w:sz w:val="24"/>
          <w:szCs w:val="24"/>
          <w:lang w:eastAsia="ar-SA"/>
        </w:rPr>
        <w:t xml:space="preserve">5. Вимоги до виконання (надання) послуг</w:t>
      </w:r>
      <w:r>
        <w:rPr>
          <w:rFonts w:ascii="Times New Roman" w:hAnsi="Times New Roman" w:cs="Times New Roman"/>
          <w:sz w:val="24"/>
          <w:szCs w:val="24"/>
          <w:lang w:eastAsia="ar-SA"/>
        </w:rPr>
        <w:t xml:space="preserve">: </w:t>
      </w:r>
      <w:r/>
    </w:p>
    <w:p>
      <w:pPr>
        <w:jc w:val="both"/>
        <w:spacing w:after="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Послуги з проведення експертизи технічного стану ліфтів надаються згідно  </w:t>
      </w:r>
      <w:r/>
    </w:p>
    <w:p>
      <w:pPr>
        <w:jc w:val="both"/>
        <w:spacing w:after="0" w:line="240" w:lineRule="auto"/>
        <w:tabs>
          <w:tab w:val="left" w:pos="567" w:leader="none"/>
        </w:tabs>
        <w:rPr>
          <w:rFonts w:ascii="Times New Roman" w:hAnsi="Times New Roman" w:cs="Times New Roman"/>
          <w:bCs/>
          <w:sz w:val="24"/>
          <w:szCs w:val="24"/>
        </w:rPr>
      </w:pPr>
      <w:r>
        <w:rPr>
          <w:rFonts w:ascii="Times New Roman" w:hAnsi="Times New Roman" w:cs="Times New Roman"/>
          <w:bCs/>
          <w:sz w:val="24"/>
          <w:szCs w:val="24"/>
        </w:rPr>
        <w:t xml:space="preserve">         -Порядку проведення Експ</w:t>
      </w:r>
      <w:r>
        <w:rPr>
          <w:rFonts w:ascii="Times New Roman" w:hAnsi="Times New Roman" w:cs="Times New Roman"/>
          <w:bCs/>
          <w:sz w:val="24"/>
          <w:szCs w:val="24"/>
        </w:rPr>
        <w:t xml:space="preserve">ертного обстеження ліфтів, які віднесені до машин, механізмів, устаткування підвищеної небезпеки відповідно до додатка 3 Порядку видачі дозволів на виконання робіт підвищеної небезпеки та на експлуатацію (застосування) машин, механізмів, устаткування підви</w:t>
      </w:r>
      <w:r>
        <w:rPr>
          <w:rFonts w:ascii="Times New Roman" w:hAnsi="Times New Roman" w:cs="Times New Roman"/>
          <w:bCs/>
          <w:sz w:val="24"/>
          <w:szCs w:val="24"/>
        </w:rPr>
        <w:t xml:space="preserve">щеної небезпеки, затвердженого постановою Кабінету Міністрів України від 26 жовтня 2011 року № 1107 (зі змінами) (далі - Порядок, затверджений постановою Кабінету Міністрів України від 26 жовтня 2011 року № 1107 ) , здійснюється згідно з вимогами Порядку, </w:t>
      </w:r>
      <w:r>
        <w:rPr>
          <w:rFonts w:ascii="Times New Roman" w:hAnsi="Times New Roman" w:cs="Times New Roman"/>
          <w:bCs/>
          <w:sz w:val="24"/>
          <w:szCs w:val="24"/>
        </w:rPr>
        <w:t xml:space="preserve">затвержено</w:t>
      </w:r>
      <w:r>
        <w:rPr>
          <w:rFonts w:ascii="Times New Roman" w:hAnsi="Times New Roman" w:cs="Times New Roman"/>
          <w:bCs/>
          <w:sz w:val="24"/>
          <w:szCs w:val="24"/>
        </w:rPr>
        <w:t xml:space="preserve"> постановою Кабінету Міністрів України від 26 травня 2004 року </w:t>
      </w:r>
      <w:r/>
    </w:p>
    <w:p>
      <w:pPr>
        <w:numPr>
          <w:ilvl w:val="0"/>
          <w:numId w:val="43"/>
        </w:numPr>
        <w:contextualSpacing/>
        <w:ind w:left="0"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ar-SA"/>
        </w:rPr>
        <w:t xml:space="preserve">Методики проведення експертного обстеження (технічного діагностування) ліфтів ОМД 00120б/н. 001-2005</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ДСТУ EN 13015:2013 Технічне обслуговування ліфтів і ескалаторів. Норми для інструкцій з технічного обслуговування (EN 13015:2001+А1:2008, IDT)</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ДСТУ 7310:2013 Установки ліфтові. Ліфти класів I, II, III, IV, V та VI. Правила організовування, проведення та приймання монтувальних робіт - КД 36.1-001-2000</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«Положення про систему технічного обслуговування </w:t>
      </w:r>
      <w:r>
        <w:rPr>
          <w:rFonts w:ascii="Times New Roman" w:hAnsi="Times New Roman" w:cs="Times New Roman"/>
          <w:bCs/>
          <w:sz w:val="24"/>
          <w:szCs w:val="24"/>
          <w:lang w:eastAsia="ar-SA"/>
        </w:rPr>
        <w:t xml:space="preserve">та ремонту ліфтів</w:t>
      </w:r>
      <w:r>
        <w:rPr>
          <w:rFonts w:ascii="Times New Roman" w:hAnsi="Times New Roman" w:cs="Times New Roman"/>
          <w:sz w:val="24"/>
          <w:szCs w:val="24"/>
          <w:lang w:eastAsia="ar-SA"/>
        </w:rPr>
        <w:t xml:space="preserve"> в Україні» (затверджено Наказом Державного комітетом будівництва, архітектури та житлової політики України від 10.04.2000 №73)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«Правил будови і безпечної експлуатації ліфтів» НПАОП 0.00-1.02.08 (затверджено Наказом Державного комітету України з промислової безпеки, охорони  праці та гірничого нагляду від 01.09.2008 №190)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«Правил технічної експлуатації електроустановок споживачів» (затверджено Наказом Міністерства палива та енергетики України від 25.07.2006 №258)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«Правилами безпечної експлуатації електроустановок споживачів» ДНАОП 0.00-1.21-98 (затверджено наказом Держнаглядохоронпраці України від 09.01.98 №4) </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Закону України «Про охорону праці»</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Наказ Міністерства будівництва, архітектури та житлово-комунального господарства України від 09.11.2006 р. № 369</w:t>
      </w:r>
      <w:r/>
    </w:p>
    <w:p>
      <w:pPr>
        <w:ind w:firstLine="567"/>
        <w:jc w:val="both"/>
        <w:spacing w:after="0" w:line="240" w:lineRule="auto"/>
        <w:rPr>
          <w:rFonts w:ascii="Times New Roman" w:hAnsi="Times New Roman" w:cs="Times New Roman"/>
          <w:sz w:val="24"/>
          <w:szCs w:val="24"/>
          <w:lang w:eastAsia="ar-SA"/>
        </w:rPr>
        <w:outlineLvl w:val="0"/>
      </w:pPr>
      <w:r>
        <w:rPr>
          <w:rFonts w:ascii="Times New Roman" w:hAnsi="Times New Roman" w:cs="Times New Roman"/>
          <w:sz w:val="24"/>
          <w:szCs w:val="24"/>
          <w:lang w:eastAsia="ar-SA"/>
        </w:rPr>
        <w:t xml:space="preserve">- Інших нормативно-правових актів.</w:t>
      </w:r>
      <w:r/>
    </w:p>
    <w:p>
      <w:pPr>
        <w:ind w:firstLine="567"/>
        <w:jc w:val="both"/>
        <w:spacing w:after="0" w:line="240" w:lineRule="auto"/>
        <w:shd w:val="clear" w:color="auto" w:fill="ffffff" w:themeFill="background1"/>
        <w:rPr>
          <w:rFonts w:ascii="Times New Roman" w:hAnsi="Times New Roman" w:cs="Times New Roman"/>
          <w:i/>
          <w:sz w:val="24"/>
          <w:szCs w:val="24"/>
          <w:lang w:eastAsia="ar-SA"/>
        </w:rPr>
      </w:pPr>
      <w:r>
        <w:rPr>
          <w:rFonts w:ascii="Times New Roman" w:hAnsi="Times New Roman" w:cs="Times New Roman"/>
          <w:i/>
          <w:sz w:val="24"/>
          <w:szCs w:val="24"/>
          <w:lang w:eastAsia="ar-SA"/>
        </w:rPr>
      </w:r>
      <w:r/>
    </w:p>
    <w:p>
      <w:pPr>
        <w:ind w:firstLine="567"/>
        <w:jc w:val="both"/>
        <w:spacing w:after="0" w:line="240" w:lineRule="auto"/>
        <w:shd w:val="clear" w:color="auto" w:fill="ffffff" w:themeFill="background1"/>
        <w:rPr>
          <w:rFonts w:ascii="Times New Roman" w:hAnsi="Times New Roman" w:cs="Times New Roman"/>
          <w:sz w:val="24"/>
          <w:szCs w:val="24"/>
        </w:rPr>
      </w:pPr>
      <w:r>
        <w:rPr>
          <w:rFonts w:ascii="Times New Roman" w:hAnsi="Times New Roman" w:cs="Times New Roman"/>
          <w:i/>
          <w:sz w:val="24"/>
          <w:szCs w:val="24"/>
          <w:lang w:eastAsia="ar-SA"/>
        </w:rPr>
        <w:t xml:space="preserve">6</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Замовник не вимагає від учасників документальне підтвердження того, що пропоновані ними товари, послуги чи роботи за своїми екологічними чи іншими характеристиками відповідають вимогам, установленим у цій технічній специфікації. </w:t>
      </w:r>
      <w:r/>
    </w:p>
    <w:p>
      <w:pPr>
        <w:ind w:firstLine="567"/>
        <w:jc w:val="both"/>
        <w:spacing w:after="0" w:line="240" w:lineRule="auto"/>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 xml:space="preserve"> </w:t>
      </w:r>
      <w:r/>
    </w:p>
    <w:p>
      <w:pPr>
        <w:jc w:val="center"/>
        <w:spacing w:after="0" w:line="240" w:lineRule="auto"/>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t xml:space="preserve">Обґрунтування проведення </w:t>
      </w:r>
      <w:r>
        <w:rPr>
          <w:rFonts w:ascii="Times New Roman" w:hAnsi="Times New Roman" w:cs="Times New Roman"/>
          <w:b/>
          <w:sz w:val="24"/>
          <w:szCs w:val="24"/>
        </w:rPr>
        <w:t xml:space="preserve">Експертизи стану охорони праці та безпеки промислового виробництва суб’єкта господарювання під час експлуатації устаткування підвищеної небезпеки, а саме ліфта.</w:t>
      </w:r>
      <w:r/>
    </w:p>
    <w:p>
      <w:pPr>
        <w:jc w:val="both"/>
        <w:spacing w:after="0" w:line="240" w:lineRule="auto"/>
        <w:rPr>
          <w:rFonts w:ascii="Times New Roman" w:hAnsi="Times New Roman" w:cs="Times New Roman"/>
          <w:b/>
          <w:color w:val="212529"/>
          <w:sz w:val="24"/>
          <w:szCs w:val="24"/>
          <w:shd w:val="clear" w:color="auto" w:fill="ffffff"/>
        </w:rPr>
      </w:pPr>
      <w:r>
        <w:rPr>
          <w:rFonts w:ascii="Times New Roman" w:hAnsi="Times New Roman" w:cs="Times New Roman"/>
          <w:b/>
          <w:color w:val="212529"/>
          <w:sz w:val="24"/>
          <w:szCs w:val="24"/>
          <w:shd w:val="clear" w:color="auto" w:fill="ffffff"/>
        </w:rPr>
      </w:r>
      <w:r/>
    </w:p>
    <w:p>
      <w:pPr>
        <w:jc w:val="both"/>
        <w:spacing w:after="0" w:line="240" w:lineRule="auto"/>
        <w:rPr>
          <w:rFonts w:ascii="Times New Roman" w:hAnsi="Times New Roman" w:cs="Times New Roman"/>
          <w:bCs/>
          <w:sz w:val="24"/>
          <w:szCs w:val="24"/>
        </w:rPr>
      </w:pPr>
      <w:r>
        <w:rPr>
          <w:rFonts w:ascii="Times New Roman" w:hAnsi="Times New Roman" w:cs="Times New Roman"/>
          <w:color w:val="212529"/>
          <w:sz w:val="24"/>
          <w:szCs w:val="24"/>
          <w:shd w:val="clear" w:color="auto" w:fill="ffffff"/>
        </w:rPr>
        <w:t xml:space="preserve">         </w:t>
      </w:r>
      <w:r>
        <w:rPr>
          <w:rFonts w:ascii="Times New Roman" w:hAnsi="Times New Roman" w:cs="Times New Roman"/>
          <w:sz w:val="24"/>
          <w:szCs w:val="24"/>
          <w:shd w:val="clear" w:color="auto" w:fill="ffffff"/>
        </w:rPr>
        <w:t xml:space="preserve">Суб'єкт господарювання,  який   має   намір   розпочати (продовжити)   експлуатацію   ліфтів,   повинен   отримати  дозвіл відповідно  до  вимог  НПАОП  0.00-4.05-2003  (  </w:t>
      </w:r>
      <w:hyperlink r:id="rId11" w:tooltip="https://zakon.rada.gov.ua/laws/show/1631-2003-%D0%BF" w:history="1">
        <w:r>
          <w:rPr>
            <w:rStyle w:val="745"/>
            <w:rFonts w:ascii="Times New Roman" w:hAnsi="Times New Roman" w:cs="Times New Roman"/>
            <w:sz w:val="24"/>
            <w:szCs w:val="24"/>
            <w:shd w:val="clear" w:color="auto" w:fill="ffffff"/>
          </w:rPr>
          <w:t xml:space="preserve">1631-2003-п</w:t>
        </w:r>
      </w:hyperlink>
      <w:r>
        <w:rPr>
          <w:rFonts w:ascii="Times New Roman" w:hAnsi="Times New Roman" w:cs="Times New Roman"/>
          <w:sz w:val="24"/>
          <w:szCs w:val="24"/>
          <w:shd w:val="clear" w:color="auto" w:fill="ffffff"/>
        </w:rPr>
        <w:t xml:space="preserve">  )  і забезпечувати   їх   утримання   в  справному  стані  та  безпечно експлуатувати    шляхом    організації    належного     технічного обслуговування,  технічного  огляду  та ремонту, відповідно  </w:t>
      </w:r>
      <w:r>
        <w:rPr>
          <w:rFonts w:ascii="Times New Roman" w:hAnsi="Times New Roman" w:cs="Times New Roman"/>
          <w:bCs/>
          <w:sz w:val="24"/>
          <w:szCs w:val="24"/>
        </w:rPr>
        <w:t xml:space="preserve">НПАОП 0 .00-1.02-08 Правил будови і безпечної експлуатації ліфтів,</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затверджений наказом Державного комітету України з промислової безпеки, охорони праці та гірничого нагляду від 01 вересня 2008 року № 190, зареєстрований у Міністерстві юстиції України 07 жовтня 2008 року за № 937/15628.</w:t>
      </w:r>
      <w:r>
        <w:rPr>
          <w:rFonts w:ascii="Times New Roman" w:hAnsi="Times New Roman" w:cs="Times New Roman"/>
          <w:color w:val="212529"/>
          <w:sz w:val="24"/>
          <w:szCs w:val="24"/>
        </w:rPr>
        <w:br/>
      </w:r>
      <w:r>
        <w:rPr>
          <w:rFonts w:ascii="Times New Roman" w:hAnsi="Times New Roman" w:cs="Times New Roman"/>
          <w:bCs/>
          <w:sz w:val="24"/>
          <w:szCs w:val="24"/>
        </w:rPr>
        <w:t xml:space="preserve">         Експертне обстеження ліфтів, які віднесені до машин, механізмів, устаткування </w:t>
      </w:r>
      <w:r>
        <w:rPr>
          <w:rFonts w:ascii="Times New Roman" w:hAnsi="Times New Roman" w:cs="Times New Roman"/>
          <w:bCs/>
          <w:sz w:val="24"/>
          <w:szCs w:val="24"/>
        </w:rPr>
        <w:t xml:space="preserve">підвищеної небезпеки відповідно до додатка 3 Порядку видачі дозволів на виконання робіт підвищеної небезпеки та на експлуатацію (застосування) машин, механізмів, устаткування підвищеної небезпеки, затвердженого постановою Кабінету Міністрів України від 26 </w:t>
      </w:r>
      <w:r>
        <w:rPr>
          <w:rFonts w:ascii="Times New Roman" w:hAnsi="Times New Roman" w:cs="Times New Roman"/>
          <w:bCs/>
          <w:sz w:val="24"/>
          <w:szCs w:val="24"/>
        </w:rPr>
        <w:t xml:space="preserve">жовтня 2011 року № 1107 (зі змінами) (далі - Порядок, затверджений постановою Кабінету Міністрів України від 26 жовтня 2011 року № 1107 ) , здійснюється згідно з вимогами Порядку, затвердженого постановою Кабінету Міністрів України від 26 травня 2004 року </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687.  Експертне обстеження виконується з м етою визначення технічного стану ліфтів, підготовки рішення щ одо умов і строку їх подальшої безпечної екс</w:t>
      </w:r>
      <w:r>
        <w:rPr>
          <w:rFonts w:ascii="Times New Roman" w:hAnsi="Times New Roman" w:cs="Times New Roman"/>
          <w:bCs/>
          <w:sz w:val="24"/>
          <w:szCs w:val="24"/>
        </w:rPr>
        <w:t xml:space="preserve">плуатації з урахуванням умов експлуатації та експлуатаційних режимів, визначення заходів щодо забезпечення безпечної експлуатації ліфтів на продовжуваний строк, а також потреби в проведенні ремонту, реконструкції, модернізації або виведення з експлуатації.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Експертне обстеження ліфтів здійснюється: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після закінчення граничного строку експлуатації або продовжування  строку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безпечної експлуатації, зазначеного у висновку експертизи попереднього експертного</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обстеження;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перед проведенням реконструкції чи модернізації;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 разі аварії або пошкодження, спричиненого надзвичайною ситуацією</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природного чи техногенного характеру, з метою визначення можливості відновлення;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у разі виявлення під час експлуатації і проведення технічного огляду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спрацювання (механічного або корозійного), залишкової деформації, тріщині, інших</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пошкоджень несучих складових частин, деталей або їх елементів, щ о перевищують</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допустим і значення;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Експертне обстеження ліфтів здійснюють організації, які отримали дозвіл</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 виконання експертного обстеження ліфтів відповідно д о вимог Порядку,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затвердженого постановою Кабінету Міністрів України від 26 жовтня 2011 року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1107.</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Експерти технічні з промислової безпеки, які безпосередньо</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проводитимуть експертне обстеження ліфтів, повинні бути атестовані відповідно до</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вимог Порядку атестації фахівців, які мають право проводити технічний огляд та/або</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експертне обстеження устаткування підвищеної небезпеки, затвердженого наказом</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Під час експертного обстеження ліфтів здійснюються такі роботи:</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вивчення експлуатаційних, конструкторських, ремонтних та інших</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документів, які містять дані про ліфт протягом усього періоду експлуатації;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перевірка організації безпечної експлуатації, технічного обслуговування та</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ремонту ліфта;</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аналіз умов та режимів експлуатації;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розроблення та узгодження програми робіт з експертного обстеження;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проведення огляду ліфта та його складових частин;</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проведення неруйнівного контролю несучих металевих конструкцій 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обладнання (за необхідності);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випробування ліфта (перевіряння функціонування в основних і спеціальних</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режим ах роботи ліфта, перевіряння і випробування складових частин і ліфта в</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цілому);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здійснення розрахунково-аналітичних процедур оцінки та прогнозування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технічного стану ліфта;</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підготовлення рішення щ одо умов і строку подальшої безпечної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експлуатації;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оформлення результатів експертного обстеження, складання висновку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експертизи та звітування про результати експертного обстеження.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Вивчаються та перевіряються: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паспорт ліфта;</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експлуатаційні документи - технічний опис та інструкція з експлуатації або</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настанова з експлуатації ліфта (далі - настанова з експлуатації), опис електроприводу</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й автоматики (якщо видається окремо від настанови з експлуатації);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альбом креслень основних складаних одиниць і швидко опрацьовуваних </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деталей (за наявності);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креслення, ескізи, розрахунки, технічні умови (за наявності), технологічні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інструкції чи інші документи, виконані п ід час проведення ремонтів, модернізації 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реконструкції ліфта (у разі виконання цих робіт);</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документи про якість канатів або ланцюгів, щ о були замінені;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документи про якість складових частин, щ о були зам </w:t>
      </w:r>
      <w:r>
        <w:rPr>
          <w:rFonts w:ascii="Times New Roman" w:hAnsi="Times New Roman" w:cs="Times New Roman"/>
          <w:bCs/>
          <w:sz w:val="24"/>
          <w:szCs w:val="24"/>
        </w:rPr>
        <w:t xml:space="preserve">інені</w:t>
      </w:r>
      <w:r>
        <w:rPr>
          <w:rFonts w:ascii="Times New Roman" w:hAnsi="Times New Roman" w:cs="Times New Roman"/>
          <w:bCs/>
          <w:sz w:val="24"/>
          <w:szCs w:val="24"/>
        </w:rPr>
        <w:t xml:space="preserve"> під час</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експлуатації;</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висновки експертизи попередніх експертних обстежень обладнання ліфта</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(якщо такі проводилися);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паспорт технічного стану будівлі (споруди ) (за наявності);</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журнал технічного обслуговування (журнал оглядів ліфтів).</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накази про призначення:</w:t>
      </w:r>
      <w:r/>
    </w:p>
    <w:p>
      <w:pPr>
        <w:jc w:val="both"/>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працівників, відповідальних за організацію робіт з технічного обслуговування і ремонту ліфтів та організацію їх експлуатації;</w:t>
      </w:r>
      <w:r/>
    </w:p>
    <w:p>
      <w:pPr>
        <w:ind w:right="-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43 666,67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сорок три тисячі шістсот шістдесят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 </w:t>
      </w:r>
      <w:r>
        <w:rPr>
          <w:rFonts w:ascii="Times New Roman" w:hAnsi="Times New Roman" w:eastAsia="Times New Roman" w:cs="Times New Roman"/>
          <w:sz w:val="24"/>
          <w:szCs w:val="24"/>
          <w:lang w:eastAsia="ru-RU"/>
        </w:rPr>
        <w:t xml:space="preserve">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5"/>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5"/>
      <w:numFmt w:val="bullet"/>
      <w:isLgl w:val="false"/>
      <w:suff w:val="tab"/>
      <w:lvlText w:val="-"/>
      <w:lvlJc w:val="left"/>
      <w:pPr>
        <w:ind w:left="720" w:hanging="360"/>
      </w:pPr>
      <w:rPr>
        <w:rFonts w:hint="default" w:ascii="Times New Roman" w:hAnsi="Times New Roman" w:eastAsia="Times New Roman" w:cs="Times New Roman"/>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19"/>
  </w:num>
  <w:num w:numId="3">
    <w:abstractNumId w:val="8"/>
  </w:num>
  <w:num w:numId="4">
    <w:abstractNumId w:val="28"/>
  </w:num>
  <w:num w:numId="5">
    <w:abstractNumId w:val="7"/>
  </w:num>
  <w:num w:numId="6">
    <w:abstractNumId w:val="35"/>
  </w:num>
  <w:num w:numId="7">
    <w:abstractNumId w:val="11"/>
  </w:num>
  <w:num w:numId="8">
    <w:abstractNumId w:val="37"/>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6"/>
  </w:num>
  <w:num w:numId="17">
    <w:abstractNumId w:val="1"/>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8"/>
  </w:num>
  <w:num w:numId="31">
    <w:abstractNumId w:val="3"/>
  </w:num>
  <w:num w:numId="32">
    <w:abstractNumId w:val="20"/>
  </w:num>
  <w:num w:numId="33">
    <w:abstractNumId w:val="17"/>
  </w:num>
  <w:num w:numId="34">
    <w:abstractNumId w:val="14"/>
  </w:num>
  <w:num w:numId="35">
    <w:abstractNumId w:val="39"/>
  </w:num>
  <w:num w:numId="36">
    <w:abstractNumId w:val="5"/>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5"/>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1631-2003-%D0%BF"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2024-08-08T07:51:59Z</dcterms:modified>
</cp:coreProperties>
</file>