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з доопрацювання комп’ютерного програмного забезпечення системи екстреної допомоги населенню за єдиним телефонним номером 112 (ЛОТОВА)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015424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з доопрацювання комп’ютерного програмного забезпечення системи екстреної допомоги населенню за єдиним телефонним номером 112 (ЛОТОВА)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№1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0" w:name="_Hlk113271218"/>
      <w:r/>
      <w:bookmarkStart w:id="1" w:name="_Hlk113270909"/>
      <w:r/>
      <w:bookmarkStart w:id="2" w:name="_Hlk138257985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Послуги з </w:t>
      </w:r>
      <w:bookmarkStart w:id="3" w:name="_Hlk113270944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доопрацювання комп’ютерного </w:t>
      </w:r>
      <w:bookmarkEnd w:id="0"/>
      <w:r/>
      <w:bookmarkEnd w:id="1"/>
      <w:r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програмного забезпечення системи екстреної допомоги населенню за єдиним телефонним номером 112 Центральний регіон, за кодом CPV за ЄЗС ДК 021:2015 –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72260000-5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Послуги, пов’язані з програмним забезпеченням»</w:t>
      </w:r>
      <w:bookmarkEnd w:id="2"/>
      <w:r/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ТЕХНІЧН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ЗАВДАННЯ </w:t>
      </w:r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 доопрацювання програмного забезпечення системи екстреної допомоги населенню за єдиним телефонним номером 112</w:t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 технічне завдання містить список функціональних вимог доопрацювання комп’ютерної програми.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</w:r>
      <w:r/>
    </w:p>
    <w:tbl>
      <w:tblPr>
        <w:tblStyle w:val="719"/>
        <w:tblW w:w="9780" w:type="dxa"/>
        <w:tblLayout w:type="fixed"/>
        <w:tblLook w:val="01E0" w:firstRow="1" w:lastRow="1" w:firstColumn="1" w:lastColumn="1" w:noHBand="0" w:noVBand="0"/>
      </w:tblPr>
      <w:tblGrid>
        <w:gridCol w:w="563"/>
        <w:gridCol w:w="6949"/>
        <w:gridCol w:w="1134"/>
        <w:gridCol w:w="1134"/>
      </w:tblGrid>
      <w:tr>
        <w:trPr>
          <w:trHeight w:val="3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Од.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К-ть</w:t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одиниць </w:t>
            </w:r>
            <w:r/>
          </w:p>
        </w:tc>
      </w:tr>
      <w:tr>
        <w:trPr>
          <w:trHeight w:val="50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748"/>
              <w:ind w:right="57"/>
              <w:jc w:val="center"/>
              <w:tabs>
                <w:tab w:val="left" w:pos="270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Послуги Етап №1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69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748"/>
              <w:ind w:right="57"/>
              <w:jc w:val="center"/>
              <w:tabs>
                <w:tab w:val="left" w:pos="270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Послуги Етап №2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6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6" w:type="dxa"/>
            <w:vAlign w:val="center"/>
            <w:textDirection w:val="lrTb"/>
            <w:noWrap w:val="false"/>
          </w:tcPr>
          <w:p>
            <w:pPr>
              <w:pStyle w:val="748"/>
              <w:ind w:right="57"/>
              <w:jc w:val="center"/>
              <w:tabs>
                <w:tab w:val="left" w:pos="2704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Послуги Етап №3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ru-RU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СКЛАД (ЗМІСТ) ВИМОГ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/>
    </w:p>
    <w:tbl>
      <w:tblPr>
        <w:tblStyle w:val="719"/>
        <w:tblW w:w="9808" w:type="dxa"/>
        <w:tblInd w:w="-5" w:type="dxa"/>
        <w:tblLook w:val="04A0" w:firstRow="1" w:lastRow="0" w:firstColumn="1" w:lastColumn="0" w:noHBand="0" w:noVBand="1"/>
      </w:tblPr>
      <w:tblGrid>
        <w:gridCol w:w="1870"/>
        <w:gridCol w:w="2459"/>
        <w:gridCol w:w="5479"/>
      </w:tblGrid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4" w:name="_Hlk14861898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Напрямок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Детальний опис робіт</w:t>
            </w:r>
            <w:bookmarkEnd w:id="4"/>
            <w:r/>
          </w:p>
        </w:tc>
      </w:tr>
      <w:tr>
        <w:trPr>
          <w:trHeight w:val="546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Список послуг по етапу 1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104 районами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Додавання районів. Адмін панель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адмін панелі додати розділ, де адміністратор може створювати по областях райони,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вказуючи номер для переадресації дзвінку на цей район та відповідального за цей район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ПІБ.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104 районами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Переадресація дзвінку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виборі переадресації дзвінку на служби 104, окрім області оператор має ще вибрати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із запропонованого списку. (Попередньо уточнивши в абонента).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Інтеграція з 104 районами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Правки системи 104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Виводити поле Район в картці події.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Дати можливість закріпити район за оператором.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Аналітика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Дашборд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головній сторінці дати можливість операторам формувати звіти за такими даними: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Дата та період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Можливість вибрати час та період часу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Локація (область, район 104).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Інформація по дзвінку (список)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Подія (категорія події)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Номер телефону абонента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Інформація/Опис про подію, адреса і т.д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ПІБ оператора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Інформація по вихідному дзвінку (список)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В яку службі направлений дзвінок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Без реагування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Жестова мова (Людина з Вадами)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Англ. мова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Аналітика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експортувати звіт в Exel файл.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Причини закриття картки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Причини закриття картки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абонент кинув трубку й карта не була перенаправлена, додати поле Закрити картку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обов’язковим вибором причини.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Помилився/Випадково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Скидають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Відповіді немає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не зоні доступу/відповідач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Зайнято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Шум/Тиша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Виклик перенаправлено на Службу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Відповіді немає</w:t>
            </w:r>
            <w:r/>
          </w:p>
        </w:tc>
      </w:tr>
      <w:tr>
        <w:trPr>
          <w:trHeight w:val="311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8" w:type="dxa"/>
            <w:textDirection w:val="lrTb"/>
            <w:noWrap w:val="false"/>
          </w:tcPr>
          <w:p>
            <w:pPr>
              <w:jc w:val="center"/>
              <w:tabs>
                <w:tab w:val="left" w:pos="4155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Список послуг по етапу 2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зберігання та використання поточних назв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областей, громад, міст, сіл, вулиць номерів домів а також попередніх назв та номерів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голубиною в 5 змін.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реєстрації під час вводу адреси пропонувати оператору 112 попередні назви 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номери з відповідною приміткою.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конвертування старих назв та номерів в поточні.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зберігання в журналі подій як первинних даних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введених оператором 112 адрес та номерів так і конвертованих в відповідності до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поточних.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конвертацію адрес в геопозицію.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Довідники адрес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СМУ 112 повинна забезпечити конвертацію геопозицію в адреси.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адреси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Картка на створення інциденту повинна бути надана з перевіркою адреси.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Валідація адреси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разі прийняття операцій адресу, виділену операції, необхідно перевірити через адресну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базу даних.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Фонетична перевірка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 час перевірки адреси можлива фонетична перевірка запису із збереженими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адресними даними.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Пропозиція найблищої адреси в пошуку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адреса не може бути перевірена, оскільки ця адреса не існує в даних збережених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адрес, повинен бути запропонований з відповідним зауваженням, наступний більший або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наступний менший номер будинку або квартири, доступний в системі (відповідно для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парних або непарних номерів будинків).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Рівень тривоги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інцидент необхідно виділити рівень тривоги (не менше 1 до 5 або текстовий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еквівалент «код тривоги»), щоб повідомити координатора про терміновість інциденту.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Зв’язок рівня тривоги з категорією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події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Можливий автоматичний зв'язок між кодом інциденту та виділеним рівнем тривоги. До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кожної категорії та підкатегорії події в адмінці потрібно додати поле на значення тривоги.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Зберігати робоче місце оператора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Також необхідно визначити робоче місце оператора, що створює інцидент з ідентифікації.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запис дзвінку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запис голосу приймаються в оперативний журнал автоматично.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Реєструвати псевдоніми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бути можливість адмініструвати «псевдоніми» (локально відомі назви для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конкретного місця розташування) для цікавих точок (POI), характерних точок, міських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частин, будівель, розв'язок доріг, ділянок шляхів та назв осіб, назв земель тощо. 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Уточнити момент інтеграції з службами.</w:t>
            </w:r>
            <w:r/>
          </w:p>
        </w:tc>
      </w:tr>
      <w:tr>
        <w:trPr>
          <w:trHeight w:val="557"/>
        </w:trPr>
        <w:tc>
          <w:tcPr>
            <w:gridSpan w:val="3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e599" w:themeFill="accent4" w:themeFillTint="66"/>
              </w:rPr>
              <w:t xml:space="preserve">Список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послуг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e599" w:themeFill="accent4" w:themeFillTint="66"/>
              </w:rPr>
              <w:t xml:space="preserve">по етапу 3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Довжина логіна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дозволяє адміністратору встановити мінімальну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довжину для логіна користувача.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Довжина пароля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бути можливість змінити значення довжини пароля.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Складність логіна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дозволяє адміністратору встановлювати та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змінювати складність логіна користувача.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Валідація старих паролів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забороняє використання вже існуючих паролів.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заборонених паролів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заборонених паролів має визначатися вільно регульованим параметром.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Повинна бути функція для зміни значення параметра.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Дозволені помилкові спроби на логін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надати функцію, яка дозволяє адміністратору встановлювати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максимальні потенційні спроби користувача підключитися.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Якщо перевищення імені користувача буде заблоковано.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з'єднань має визначатися параметром.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Має бути можливість змінити значення параметра.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Блокування вгадування паролю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 забезпечення не повинно бути дозволено надавати допомогу посилатися на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 забезпечення користувача вгадування паролів.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Налаштування безпеки.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Easy admin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Сповіщення на електрону пошту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користувачів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повинна містити функцію, яка дозволяє створювати та надсилати автоматичне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адміністратору про користувачів, які не використовували програмне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протягом певного часу, встановленого адміністратором.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Доопрацювання процедур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процесів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Прикріпити файл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 має дозволити прикріпити відповідні документи до місця події (* 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pdf, * .xlsx, * .docx, * .odf, * .odt, * .ods, * .html файли, внутрішні та/або зовнішні URL-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адреси)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Архівування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Тимчасові записи журналу або файли (для черги або кешування) повинні бути видалені з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жорсткого диска після настроюваного періоду часу і завершеного архівування.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історії подій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Історії подій в табличний формат з можливістю обрати формат.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даних журналу також повинна бути надана за запитом, або в інкрементній формі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(пов'язана з усіма новими наборами даних з моменту останньої роздруківки), або всі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набори даних протягом певного періоду часу, який користувач може вибрати.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Експорт журналу або результатів пошуку у форматі даних, який можна прочитати для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офісної програми для поглинання та подальшої обробки.</w:t>
            </w:r>
            <w:r/>
          </w:p>
        </w:tc>
      </w:tr>
      <w:tr>
        <w:trPr/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інцидентами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Завантажити запис розмови</w:t>
            </w:r>
            <w:r/>
          </w:p>
        </w:tc>
        <w:tc>
          <w:tcPr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47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Записи голосової документації, виділені на операцію, повинні бути в змозі отримати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додаток управління інцидентами.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Учасник якого визначено переможцем процедури закупівлі, 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 укладанням договору проводить експертизу та/або експертну оцінку та/або незалежну оцінку вартості послуг, за результатом аукціону, вказаних в Додатку 5 до тендерної документації та надає Замовнику документ що підтверджує вартість вказаних послуг. У 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і надання документу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за одиницю послуг (надати у складі тендерної документації гарантійний лист).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Послуги з доопрацювання комп’ютерного програмного забезпечення системи екстреної допомоги населенню за єдиним телефонним номером 112 Західний регіон, за кодом CPV за ЄЗС ДК 021:2015 –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72260000-5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Послуги, пов’язані з програмним забезпеченням»</w:t>
      </w:r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ТЕХНІЧН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ЗАВДАННЯ </w:t>
      </w:r>
      <w:r/>
    </w:p>
    <w:p>
      <w:pPr>
        <w:ind w:left="567"/>
        <w:jc w:val="center"/>
        <w:spacing w:after="0" w:line="240" w:lineRule="auto"/>
        <w:tabs>
          <w:tab w:val="left" w:pos="993" w:leader="none"/>
          <w:tab w:val="left" w:pos="1418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 доопрацювання програмного забезпечення системи екстреної допомоги населенню за єдиним телефонним номером 112</w:t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 технічне завдання містить список функціональних вимог доопрацювання комп’ютерної програми.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СКЛАД (ЗМІСТ) ВИМОГ</w:t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Етап 1</w:t>
      </w:r>
      <w:r/>
    </w:p>
    <w:p>
      <w:pPr>
        <w:numPr>
          <w:ilvl w:val="0"/>
          <w:numId w:val="32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Приєднання західних регіонів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 Створити ще одну організаційну одиницю: Комунікаційний центр. В Україні буде 4 основних комунікаційних центри Львів, Київ, Дніпро, Одеса.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 додаванні оператора, додати можливість закріпити оператора за комунікаційним центром.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Обмежити показ карток для оператора, оператор може бачити картки лише свого комунікаційного центру.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 Додати ще одну роль в адміністративну панель, роль Менеджер з управління ресурсами.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Надати можливість суперадміністратору створювати Менеджера з управлінням ресурсами на кожен окремий комунікаційний центр.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 Менеджер з управління ресурсами може додавати операторів та привʼязвувати їх за комунікаційним центром.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 Менеджер з управління ресурсами може створювати Супервізорів і привʼязувати їх до комунікаційного центру.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 Супервізор може бачити статуси тільки подій того комунікаційного центру, до якого його привʼязали.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 Суперадміністратор може бачити всіх операторів, яких створює , а також журнал логів по всім операторам.</w:t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Етап 2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ind w:left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Інтеграція з 101 для західних регіонів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Інтегрувати API від системи служби 101, для обміну інформацією про екстрені події.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Налаштувати перенаправлення дзвінків на номер окремі номера 101, які відповідають певному місту.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Налаштувати відправку карток подій від 112 до 101 західних регіонів.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Налаштувати відправку наступних даних: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 прийому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 переадресації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Регіон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ПІБ оператора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Оригінальний номер телефону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Змінений номер телефону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Задіяні служби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 служба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реагування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Ідентифікатор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Категорія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Підкатегорія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Хід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Оновлення події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Підготувати документацію для системи 101 про відправку Статусів опрацювання подій.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Включити Статуси опрацювання подій 101 в загальний маппінг статусів 112 від екстрених служб.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Налаштувати відправку Оновлень подій в систему 101.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Етап 3</w:t>
      </w:r>
      <w:r/>
    </w:p>
    <w:p>
      <w:pPr>
        <w:ind w:left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Інтеграція з 102 для західних регіонів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Інтегрувати API від системи служби 102, для обміну інформацією про екстрені події.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Налаштувати перенаправлення дзвінків на номер окремі номера 102, які відповідають певному місту.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Налаштувати відправку карток подій від 112 до 102 західних регіонів.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Налаштувати відправку наступних даних: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 прийому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 переадресації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Регіон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ПІБ оператора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Оригінальний номер телефону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Змінений номер телефону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Задіяні служби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 служба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реагування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Ідентифікатор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Категорія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Підкатегорія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Хід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Оновлення події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Включити Статуси опрацювання подій 102 в загальний маппінг статусів 112 від екстрених служб.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Налаштувати відправку Оновлень подій в систему 102.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Етап 4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Інтеграція з 103 для західних регіонів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Інтегрувати API від системи служби 103, для обміну інформацією про екстрені події.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Налаштувати перенаправлення дзвінків на номер окремі номера 103, які відповідають певному місту.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Налаштувати відправку карток подій від 112 до 103 західних регіонів.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Налаштувати відправку наступних даних: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 прийому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 переадресації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Регіон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ПІБ оператора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Оригінальний номер телефону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Змінений номер телефону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Задіяні служби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 служба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реагування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Ідентифікатор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Категорія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Підкатегорія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Хід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Оновлення події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Включити Статуси опрацювання подій 103 в загальний маппінг статусів 112 від екстрених служб.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Налаштувати відправку Оновлень подій в систему 103.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Етап 5</w:t>
      </w:r>
      <w:r/>
    </w:p>
    <w:p>
      <w:pPr>
        <w:ind w:left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Інтеграція з 104 для західних регіонів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Інтегрувати API від системи служби 104, для обміну інформацією про екстрені події.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Налаштувати перенаправлення дзвінків на номер окремі номера 104, які відповідають певному місту.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Налаштувати відправку карток подій від 112 до 104 західних регіонів.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Налаштувати відправку наступних даних: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 прийому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 переадресації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Регіон виклику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ПІБ оператора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Оригінальний номер телефону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Змінений номер телефону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Задіяні служби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 служба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заявника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Статус реагування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Ідентифікатор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Категорія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Підкатегорія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Хід події</w:t>
      </w:r>
      <w:r/>
    </w:p>
    <w:p>
      <w:pPr>
        <w:numPr>
          <w:ilvl w:val="0"/>
          <w:numId w:val="33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Оновлення події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Включити Статуси опрацювання подій 104 в загальний маппінг статусів 112 від екстрених служб.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Налаштувати відправку Оновлень подій в систему 104.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Етап 6</w:t>
      </w:r>
      <w:r/>
    </w:p>
    <w:p>
      <w:pPr>
        <w:ind w:left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Покращення системи у звʼязку з опитуванням операторів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Привʼязати вихідний дзвінок, до карти, яка була створена за ініціативи вхідного звʼязку.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На картку додати додатковий блок: Причини завершення дзвінку. Цей блок матиме 2 основних поля: </w:t>
      </w:r>
      <w:r/>
    </w:p>
    <w:p>
      <w:pPr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Вхідний дзвінок. 1. Якщо картка була створена разом зі дзвінком, це поле буде автоматично заповнюватись причинами завершення дзвінку, редагувати поле не </w:t>
      </w:r>
      <w:r>
        <w:rPr>
          <w:rFonts w:ascii="Times New Roman" w:hAnsi="Times New Roman" w:cs="Times New Roman"/>
          <w:sz w:val="24"/>
          <w:szCs w:val="24"/>
        </w:rPr>
        <w:t xml:space="preserve">можна. 2. Якщо картку створено мануально, оператор має можливість обрати причину з випадаючого списку, який береться з адмін панелі; </w:t>
      </w:r>
      <w:r/>
    </w:p>
    <w:p>
      <w:pPr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Вихідний дзвінок. 1. Якщо картка була створена разом зі дзвінком, це поле буде автоматично заповнювати</w:t>
      </w:r>
      <w:r>
        <w:rPr>
          <w:rFonts w:ascii="Times New Roman" w:hAnsi="Times New Roman" w:cs="Times New Roman"/>
          <w:sz w:val="24"/>
          <w:szCs w:val="24"/>
        </w:rPr>
        <w:t xml:space="preserve">сь причинами завершення дзвінку, редагувати поле не можна. 2. Якщо картку створено мануально, оператор має можливість обрати причину з випадаючого списку, який береться з адмін панелі. Якщо Вихідних дзвінку було більше, поле буде динамічно додаватись нище.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 Будь-які дії повинні бути відмічені, який оператор додав опис.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 В ході подій потрібно відображати, яка яка служба оновила статус реагування.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Розглянути інтеграцію з Смарт годинниками, для отримання екстрених сигналів.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 Закріпити фільтр, щоб він не скидався при проходженні на іншу сторінку.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 В історії звернень додати колонки: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Додати в яку службу було переведено дзвінок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Причини закриття картки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Область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Хід події (останнє значення).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 Додати вибір причин переходу в статус Not Ready: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Обід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Перерва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Навчання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Уточнення інформації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Технічна перерва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Вихідний дзвінок.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 Додати можливість пошуку по номеру в Історії звернень.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 Додати можливість відкриття історії по номеру з картки виклику.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Зробити активною панель "Дані про номер заявника".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Учасник якого визначено переможцем процедури закупівлі, пе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 укладанням договору проводить експертизу та/або експертну оцінку та/або незалежну оцінку вартості послуг, за результатом аукціону, вказаних в Додатку 5 до тендерної документації та надає Замовнику документ що підтверджує вартість вказаних послуг. У 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і надання документу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за одиницю послуг (надати у складі тендерної документації гарантійний лист).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5 395 990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п’ять мільйонів триста дев’яносто п’ять тисяч дев’ятсот дев’яносто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strike w:val="0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16"/>
  </w:num>
  <w:num w:numId="3">
    <w:abstractNumId w:val="8"/>
  </w:num>
  <w:num w:numId="4">
    <w:abstractNumId w:val="23"/>
  </w:num>
  <w:num w:numId="5">
    <w:abstractNumId w:val="7"/>
  </w:num>
  <w:num w:numId="6">
    <w:abstractNumId w:val="29"/>
  </w:num>
  <w:num w:numId="7">
    <w:abstractNumId w:val="11"/>
  </w:num>
  <w:num w:numId="8">
    <w:abstractNumId w:val="31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0"/>
  </w:num>
  <w:num w:numId="17">
    <w:abstractNumId w:val="1"/>
  </w:num>
  <w:num w:numId="18">
    <w:abstractNumId w:val="32"/>
  </w:num>
  <w:num w:numId="19">
    <w:abstractNumId w:val="2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8"/>
  </w:num>
  <w:num w:numId="26">
    <w:abstractNumId w:val="21"/>
  </w:num>
  <w:num w:numId="27">
    <w:abstractNumId w:val="26"/>
  </w:num>
  <w:num w:numId="28">
    <w:abstractNumId w:val="19"/>
  </w:num>
  <w:num w:numId="29">
    <w:abstractNumId w:val="27"/>
  </w:num>
  <w:num w:numId="30">
    <w:abstractNumId w:val="15"/>
  </w:num>
  <w:num w:numId="31">
    <w:abstractNumId w:val="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14"/>
    <w:link w:val="7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4"/>
    <w:link w:val="713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1"/>
    <w:next w:val="71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1"/>
    <w:next w:val="71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1"/>
    <w:next w:val="71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1"/>
    <w:next w:val="71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1"/>
    <w:next w:val="71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1"/>
    <w:next w:val="71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1"/>
    <w:next w:val="71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1"/>
    <w:next w:val="71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4"/>
    <w:link w:val="33"/>
    <w:uiPriority w:val="10"/>
    <w:rPr>
      <w:sz w:val="48"/>
      <w:szCs w:val="48"/>
    </w:rPr>
  </w:style>
  <w:style w:type="paragraph" w:styleId="35">
    <w:name w:val="Subtitle"/>
    <w:basedOn w:val="711"/>
    <w:next w:val="71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4"/>
    <w:link w:val="35"/>
    <w:uiPriority w:val="11"/>
    <w:rPr>
      <w:sz w:val="24"/>
      <w:szCs w:val="24"/>
    </w:rPr>
  </w:style>
  <w:style w:type="paragraph" w:styleId="37">
    <w:name w:val="Quote"/>
    <w:basedOn w:val="711"/>
    <w:next w:val="71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1"/>
    <w:next w:val="71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4"/>
    <w:link w:val="41"/>
    <w:uiPriority w:val="99"/>
  </w:style>
  <w:style w:type="character" w:styleId="44">
    <w:name w:val="Footer Char"/>
    <w:basedOn w:val="714"/>
    <w:link w:val="723"/>
    <w:uiPriority w:val="99"/>
  </w:style>
  <w:style w:type="paragraph" w:styleId="45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3"/>
    <w:uiPriority w:val="99"/>
  </w:style>
  <w:style w:type="table" w:styleId="48">
    <w:name w:val="Table Grid Light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4"/>
    <w:uiPriority w:val="99"/>
    <w:unhideWhenUsed/>
    <w:rPr>
      <w:vertAlign w:val="superscript"/>
    </w:rPr>
  </w:style>
  <w:style w:type="paragraph" w:styleId="177">
    <w:name w:val="endnote text"/>
    <w:basedOn w:val="71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4"/>
    <w:uiPriority w:val="99"/>
    <w:semiHidden/>
    <w:unhideWhenUsed/>
    <w:rPr>
      <w:vertAlign w:val="superscript"/>
    </w:rPr>
  </w:style>
  <w:style w:type="paragraph" w:styleId="180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rPr>
      <w:lang w:val="uk-UA"/>
    </w:rPr>
  </w:style>
  <w:style w:type="paragraph" w:styleId="712">
    <w:name w:val="Heading 1"/>
    <w:basedOn w:val="711"/>
    <w:next w:val="711"/>
    <w:link w:val="749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13">
    <w:name w:val="Heading 2"/>
    <w:basedOn w:val="711"/>
    <w:link w:val="73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paragraph" w:styleId="717">
    <w:name w:val="List Paragraph"/>
    <w:basedOn w:val="711"/>
    <w:link w:val="71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8" w:customStyle="1">
    <w:name w:val="Абзац списку Знак"/>
    <w:link w:val="717"/>
    <w:uiPriority w:val="34"/>
    <w:qFormat/>
    <w:rPr>
      <w:rFonts w:ascii="Calibri" w:hAnsi="Calibri" w:eastAsia="Calibri" w:cs="Calibri"/>
      <w:lang w:eastAsia="zh-CN"/>
    </w:rPr>
  </w:style>
  <w:style w:type="table" w:styleId="719">
    <w:name w:val="Table Grid"/>
    <w:basedOn w:val="71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Сетка таблицы2"/>
    <w:basedOn w:val="715"/>
    <w:next w:val="71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1">
    <w:name w:val="Normal (Web)"/>
    <w:basedOn w:val="711"/>
    <w:link w:val="728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2" w:customStyle="1">
    <w:name w:val="Сетка таблицы1"/>
    <w:basedOn w:val="715"/>
    <w:next w:val="71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3">
    <w:name w:val="Footer"/>
    <w:basedOn w:val="711"/>
    <w:link w:val="72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4" w:customStyle="1">
    <w:name w:val="Нижній колонтитул Знак"/>
    <w:basedOn w:val="714"/>
    <w:link w:val="723"/>
    <w:uiPriority w:val="99"/>
    <w:rPr>
      <w:rFonts w:ascii="Calibri" w:hAnsi="Calibri" w:eastAsia="Calibri" w:cs="Calibri"/>
      <w:lang w:eastAsia="zh-CN"/>
    </w:rPr>
  </w:style>
  <w:style w:type="paragraph" w:styleId="72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6">
    <w:name w:val="Hyperlink"/>
    <w:basedOn w:val="714"/>
    <w:uiPriority w:val="99"/>
    <w:unhideWhenUsed/>
    <w:rPr>
      <w:color w:val="0563c1" w:themeColor="hyperlink"/>
      <w:u w:val="single"/>
    </w:rPr>
  </w:style>
  <w:style w:type="character" w:styleId="727" w:customStyle="1">
    <w:name w:val="xfm_93972720"/>
    <w:basedOn w:val="714"/>
  </w:style>
  <w:style w:type="character" w:styleId="728" w:customStyle="1">
    <w:name w:val="Звичайний (веб) Знак"/>
    <w:link w:val="721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9">
    <w:name w:val="Body Text 2"/>
    <w:basedOn w:val="711"/>
    <w:link w:val="73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0" w:customStyle="1">
    <w:name w:val="Основний текст 2 Знак"/>
    <w:basedOn w:val="714"/>
    <w:link w:val="72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2" w:customStyle="1">
    <w:name w:val="Заголовок 2 Знак"/>
    <w:basedOn w:val="714"/>
    <w:link w:val="71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3">
    <w:name w:val="No Spacing"/>
    <w:link w:val="73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4" w:customStyle="1">
    <w:name w:val="Без інтервалів Знак"/>
    <w:basedOn w:val="714"/>
    <w:link w:val="733"/>
    <w:uiPriority w:val="1"/>
    <w:rPr>
      <w:rFonts w:ascii="Calibri" w:hAnsi="Calibri" w:eastAsia="Calibri" w:cs="Times New Roman"/>
      <w:lang w:val="uk-UA"/>
    </w:rPr>
  </w:style>
  <w:style w:type="character" w:styleId="735" w:customStyle="1">
    <w:name w:val="Другое_"/>
    <w:basedOn w:val="714"/>
    <w:link w:val="736"/>
    <w:rPr>
      <w:rFonts w:ascii="Calibri" w:hAnsi="Calibri" w:eastAsia="Calibri" w:cs="Calibri"/>
      <w:sz w:val="20"/>
      <w:szCs w:val="20"/>
    </w:rPr>
  </w:style>
  <w:style w:type="paragraph" w:styleId="736" w:customStyle="1">
    <w:name w:val="Другое"/>
    <w:basedOn w:val="711"/>
    <w:link w:val="735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8" w:customStyle="1">
    <w:name w:val="Основной текст (2)_"/>
    <w:basedOn w:val="714"/>
    <w:link w:val="739"/>
    <w:rPr>
      <w:rFonts w:eastAsia="Times New Roman" w:cs="Times New Roman"/>
      <w:shd w:val="clear" w:color="auto" w:fill="ffffff"/>
    </w:rPr>
  </w:style>
  <w:style w:type="paragraph" w:styleId="739" w:customStyle="1">
    <w:name w:val="Основной текст (2)"/>
    <w:basedOn w:val="711"/>
    <w:link w:val="738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0" w:customStyle="1">
    <w:name w:val="Текст у виносці Знак"/>
    <w:basedOn w:val="714"/>
    <w:link w:val="74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1">
    <w:name w:val="Balloon Text"/>
    <w:basedOn w:val="711"/>
    <w:link w:val="74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2" w:customStyle="1">
    <w:name w:val="Текст у виносці Знак1"/>
    <w:basedOn w:val="714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3" w:customStyle="1">
    <w:name w:val="T23"/>
    <w:rPr>
      <w:rFonts w:hint="default" w:ascii="Times New Roman" w:hAnsi="Times New Roman" w:eastAsia="Times New Roman1" w:cs="Times New Roman"/>
    </w:rPr>
  </w:style>
  <w:style w:type="paragraph" w:styleId="744" w:customStyle="1">
    <w:name w:val="Абзац списку1"/>
    <w:basedOn w:val="711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5" w:customStyle="1">
    <w:name w:val="markedcontent"/>
    <w:basedOn w:val="714"/>
  </w:style>
  <w:style w:type="paragraph" w:styleId="746">
    <w:name w:val="annotation text"/>
    <w:basedOn w:val="711"/>
    <w:link w:val="747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7" w:customStyle="1">
    <w:name w:val="Текст примітки Знак"/>
    <w:basedOn w:val="714"/>
    <w:link w:val="74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8" w:customStyle="1">
    <w:name w:val="Table Paragraph"/>
    <w:basedOn w:val="711"/>
    <w:uiPriority w:val="1"/>
    <w:qFormat/>
    <w:pPr>
      <w:spacing w:after="0" w:line="240" w:lineRule="auto"/>
      <w:widowControl w:val="off"/>
    </w:pPr>
    <w:rPr>
      <w:lang w:val="en-US"/>
    </w:rPr>
  </w:style>
  <w:style w:type="character" w:styleId="749" w:customStyle="1">
    <w:name w:val="Заголовок 1 Знак"/>
    <w:basedOn w:val="714"/>
    <w:link w:val="712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153</cp:revision>
  <dcterms:created xsi:type="dcterms:W3CDTF">2022-11-01T12:47:00Z</dcterms:created>
  <dcterms:modified xsi:type="dcterms:W3CDTF">2023-12-06T15:10:52Z</dcterms:modified>
</cp:coreProperties>
</file>