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b w:val="0"/>
            <w:bCs w:val="0"/>
            <w:sz w:val="24"/>
            <w:szCs w:val="24"/>
          </w:rPr>
          <w:t xml:space="preserve"> Закупівля </w:t>
        </w:r>
        <w:r>
          <w:rPr>
            <w:b w:val="0"/>
            <w:bCs w:val="0"/>
            <w:color w:val="000000" w:themeColor="text1"/>
            <w:sz w:val="24"/>
            <w:szCs w:val="24"/>
          </w:rPr>
          <w:t xml:space="preserve">послуги з технічної підтримки до програмного забезпечення </w:t>
        </w:r>
        <w:r>
          <w:rPr>
            <w:b w:val="0"/>
            <w:bCs w:val="0"/>
            <w:color w:val="000000" w:themeColor="text1"/>
            <w:sz w:val="24"/>
            <w:szCs w:val="24"/>
            <w:lang w:val="en-US"/>
          </w:rPr>
          <w:t xml:space="preserve">Eleveo</w:t>
        </w:r>
        <w:r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r>
          <w:rPr>
            <w:b w:val="0"/>
            <w:bCs w:val="0"/>
            <w:sz w:val="24"/>
            <w:szCs w:val="24"/>
          </w:rPr>
          <w:t xml:space="preserve"> за кодом CPV за ЄЗС ДК 021:2015: 72250000-2 </w:t>
        </w:r>
      </w:hyperlink>
      <w:r>
        <w:rPr>
          <w:b w:val="0"/>
          <w:bCs w:val="0"/>
          <w:sz w:val="24"/>
          <w:szCs w:val="24"/>
        </w:rPr>
        <w:t xml:space="preserve"> Послуги, пов’язані із системами та підтримкою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018958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"https://www.dzo.com.ua/tenders/17227183"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 Закупівля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послуги з технічної підтримки до програмного забезпечення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Eleveo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кодом CPV за ЄЗС ДК 021:2015: 72250000-2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Послуги, пов’язані із системами та підтримкою</w:t>
      </w:r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14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  <w:u w:val="single"/>
        </w:rPr>
      </w:pPr>
      <w:r/>
      <w:hyperlink r:id="rId12" w:tooltip="https://www.dzo.com.ua/tenders/17227183" w:history="1">
        <w:r>
          <w:rPr>
            <w:sz w:val="24"/>
            <w:szCs w:val="24"/>
          </w:rPr>
          <w:t xml:space="preserve"> Закупівля </w:t>
        </w:r>
        <w:r>
          <w:rPr>
            <w:color w:val="000000" w:themeColor="text1"/>
            <w:sz w:val="24"/>
            <w:szCs w:val="24"/>
          </w:rPr>
          <w:t xml:space="preserve">послуги з технічної підтримки до програмного забезпечення </w:t>
        </w:r>
        <w:r>
          <w:rPr>
            <w:color w:val="000000" w:themeColor="text1"/>
            <w:sz w:val="24"/>
            <w:szCs w:val="24"/>
            <w:lang w:val="en-US"/>
          </w:rPr>
          <w:t xml:space="preserve">Eleveo</w:t>
        </w:r>
        <w:r>
          <w:rPr>
            <w:color w:val="000000" w:themeColor="text1"/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 за кодом CPV за ЄЗС ДК 021:2015: 72250000-2 </w:t>
        </w:r>
        <w:r>
          <w:rPr>
            <w:sz w:val="24"/>
            <w:szCs w:val="24"/>
          </w:rPr>
          <w:t xml:space="preserve"> </w:t>
        </w:r>
        <w:r>
          <w:rPr>
            <w:bCs w:val="0"/>
            <w:sz w:val="24"/>
            <w:szCs w:val="24"/>
          </w:rPr>
          <w:t xml:space="preserve">Послуги, пов’язані із системами та підтримкою</w:t>
        </w:r>
        <w:r>
          <w:rPr>
            <w:rStyle w:val="727"/>
            <w:color w:val="000000"/>
            <w:sz w:val="24"/>
            <w:szCs w:val="24"/>
          </w:rPr>
          <w:t xml:space="preserve"> </w:t>
        </w:r>
      </w:hyperlink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надання Послуг складає:</w:t>
      </w:r>
      <w:r>
        <w:rPr>
          <w:rFonts w:ascii="Times New Roman" w:hAnsi="Times New Roman" w:cs="Times New Roman"/>
          <w:sz w:val="24"/>
          <w:szCs w:val="24"/>
        </w:rPr>
        <w:t xml:space="preserve"> до 31 грудня 2023 року.  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pPr w:horzAnchor="margin" w:tblpXSpec="center" w:vertAnchor="page" w:tblpY="4831" w:leftFromText="180" w:topFromText="0" w:rightFromText="180" w:bottomFromText="0"/>
        <w:tblW w:w="10689" w:type="dxa"/>
        <w:tblLook w:val="04A0" w:firstRow="1" w:lastRow="0" w:firstColumn="1" w:lastColumn="0" w:noHBand="0" w:noVBand="1"/>
      </w:tblPr>
      <w:tblGrid>
        <w:gridCol w:w="445"/>
        <w:gridCol w:w="1342"/>
        <w:gridCol w:w="1450"/>
        <w:gridCol w:w="6601"/>
        <w:gridCol w:w="851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/>
            <w:bookmarkStart w:id="1" w:name="_Hlk1533764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Eleveo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Програмна продукція - продовження щорічної сервісної підтримки для системи запису Виробника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Eleveo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відмовостійкій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конфігурації, для діючої системи на майданчику замовника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агентів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150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Термін дії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Сервісна підписки повинна мати термін дії не менше, ніж 12 місяців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Умови сервісної підтримки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Повинні включати в себе можливість реєстрації сервісних випадків та отримання технічної підтримки в режимі 8х5хNBD (5 робочих днів, 8 робочих годин, на наступний робочий день) безпосередньо в службі підтримки виробника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Eleveo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Умови розширеної гарантії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Повинні включати в себе можливість реєстрації сервісних випадків в режимі 24х7х365, оновлення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мікрокоду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системи і версій встановленого програмного забезпечення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Умови взаємодії з сайтом виробника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Повинні включати в себе постійний (24х7) авторизований доступ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Умови актуалізації діючої системи на майданчику замовника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Повинні включати в себе періодичне отримання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оновленяя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основних та проміжних релізів програмного забезпечення через сайт Виробника, підтримка програмних кодів у актуальному стані відповідно до рекомендацій Виробника, в тому числі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мікрокодів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пристроїв;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Умови взаємодії технічного персоналу виробника та замовника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Повинні включати в себе можливість постійного (24х7), цілод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обового (з понеділка по неділю з 00.00 до 24.00 годин) надання консультацій по телефону, електронній пошті та онлайн (через сайт) підтримки виробника по питаннях установки, конфігурування і експлуатації обладнання, що експлуатується на майданчику замовника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bookmarkEnd w:id="1"/>
            <w:r/>
          </w:p>
        </w:tc>
      </w:tr>
    </w:tbl>
    <w:p>
      <w:pPr>
        <w:contextualSpacing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Вимоги до предмету закупівлі:</w:t>
      </w:r>
      <w:r/>
    </w:p>
    <w:p>
      <w:pPr>
        <w:pStyle w:val="718"/>
        <w:numPr>
          <w:ilvl w:val="0"/>
          <w:numId w:val="3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програмної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) повинна </w:t>
      </w:r>
      <w:r>
        <w:rPr>
          <w:rFonts w:ascii="Times New Roman" w:hAnsi="Times New Roman" w:cs="Times New Roman"/>
          <w:sz w:val="24"/>
          <w:szCs w:val="24"/>
        </w:rPr>
        <w:t xml:space="preserve">відповідати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національним</w:t>
      </w:r>
      <w:r>
        <w:rPr>
          <w:rFonts w:ascii="Times New Roman" w:hAnsi="Times New Roman" w:cs="Times New Roman"/>
          <w:sz w:val="24"/>
          <w:szCs w:val="24"/>
        </w:rPr>
        <w:t xml:space="preserve"> стандартам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718"/>
        <w:numPr>
          <w:ilvl w:val="0"/>
          <w:numId w:val="3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програмна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продукція</w:t>
      </w:r>
      <w:r>
        <w:rPr>
          <w:rFonts w:ascii="Times New Roman" w:hAnsi="Times New Roman" w:cs="Times New Roman"/>
          <w:sz w:val="24"/>
          <w:szCs w:val="24"/>
        </w:rPr>
        <w:t xml:space="preserve">) не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порушувати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діючої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політики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 в ПАК УКЦ та </w:t>
      </w:r>
      <w:r>
        <w:rPr>
          <w:rFonts w:ascii="Times New Roman" w:hAnsi="Times New Roman" w:cs="Times New Roman"/>
          <w:sz w:val="24"/>
          <w:szCs w:val="24"/>
        </w:rPr>
        <w:t xml:space="preserve">вимог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Комплексної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захисту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 ПАК УКЦ.</w:t>
      </w:r>
      <w:r/>
    </w:p>
    <w:p>
      <w:pPr>
        <w:pStyle w:val="718"/>
        <w:numPr>
          <w:ilvl w:val="0"/>
          <w:numId w:val="3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Супроводжувальна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документація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тендерній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повинна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подаватись українською мовою.</w:t>
      </w:r>
      <w:r/>
    </w:p>
    <w:p>
      <w:pPr>
        <w:pStyle w:val="718"/>
        <w:numPr>
          <w:ilvl w:val="0"/>
          <w:numId w:val="3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не є </w:t>
      </w:r>
      <w:r>
        <w:rPr>
          <w:rFonts w:ascii="Times New Roman" w:hAnsi="Times New Roman" w:cs="Times New Roman"/>
          <w:sz w:val="24"/>
          <w:szCs w:val="24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предмету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</w:rPr>
        <w:t xml:space="preserve">він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дистриб'ютора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представницькі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повноваження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</w:rPr>
        <w:t xml:space="preserve">. Лист повинен бути </w:t>
      </w:r>
      <w:r>
        <w:rPr>
          <w:rFonts w:ascii="Times New Roman" w:hAnsi="Times New Roman" w:cs="Times New Roman"/>
          <w:sz w:val="24"/>
          <w:szCs w:val="24"/>
        </w:rPr>
        <w:t xml:space="preserve">адресований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, та </w:t>
      </w:r>
      <w:r>
        <w:rPr>
          <w:rFonts w:ascii="Times New Roman" w:hAnsi="Times New Roman" w:cs="Times New Roman"/>
          <w:sz w:val="24"/>
          <w:szCs w:val="24"/>
        </w:rPr>
        <w:t xml:space="preserve">містити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інформацію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посиланням</w:t>
      </w:r>
      <w:r>
        <w:rPr>
          <w:rFonts w:ascii="Times New Roman" w:hAnsi="Times New Roman" w:cs="Times New Roman"/>
          <w:sz w:val="24"/>
          <w:szCs w:val="24"/>
        </w:rPr>
        <w:t xml:space="preserve"> на номер і дату </w:t>
      </w:r>
      <w:r>
        <w:rPr>
          <w:rFonts w:ascii="Times New Roman" w:hAnsi="Times New Roman" w:cs="Times New Roman"/>
          <w:sz w:val="24"/>
          <w:szCs w:val="24"/>
        </w:rPr>
        <w:t xml:space="preserve">оприлюднення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sz w:val="24"/>
          <w:szCs w:val="24"/>
        </w:rPr>
        <w:t xml:space="preserve"> на веб-</w:t>
      </w:r>
      <w:r>
        <w:rPr>
          <w:rFonts w:ascii="Times New Roman" w:hAnsi="Times New Roman" w:cs="Times New Roman"/>
          <w:sz w:val="24"/>
          <w:szCs w:val="24"/>
        </w:rPr>
        <w:t xml:space="preserve">порталі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Уповноваженого</w:t>
      </w:r>
      <w:r>
        <w:rPr>
          <w:rFonts w:ascii="Times New Roman" w:hAnsi="Times New Roman" w:cs="Times New Roman"/>
          <w:sz w:val="24"/>
          <w:szCs w:val="24"/>
        </w:rPr>
        <w:t xml:space="preserve"> органу, </w:t>
      </w:r>
      <w:r>
        <w:rPr>
          <w:rFonts w:ascii="Times New Roman" w:hAnsi="Times New Roman" w:cs="Times New Roman"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Товару.</w:t>
      </w:r>
      <w:r/>
    </w:p>
    <w:p>
      <w:pPr>
        <w:pStyle w:val="718"/>
        <w:numPr>
          <w:ilvl w:val="0"/>
          <w:numId w:val="3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документах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містять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опис</w:t>
      </w:r>
      <w:r>
        <w:rPr>
          <w:rFonts w:ascii="Times New Roman" w:hAnsi="Times New Roman" w:cs="Times New Roman"/>
          <w:sz w:val="24"/>
          <w:szCs w:val="24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додаються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якісним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кількісним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іншим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характеристикам), повинен </w:t>
      </w:r>
      <w:r>
        <w:rPr>
          <w:rFonts w:ascii="Times New Roman" w:hAnsi="Times New Roman" w:cs="Times New Roman"/>
          <w:sz w:val="24"/>
          <w:szCs w:val="24"/>
        </w:rPr>
        <w:t xml:space="preserve">чітко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вказати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продуктів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hAnsi="Times New Roman" w:cs="Times New Roman"/>
          <w:sz w:val="24"/>
          <w:szCs w:val="24"/>
        </w:rPr>
        <w:t xml:space="preserve">задоволення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документації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вказані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деталізації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достатнім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внесення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специфікацій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договір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закупівлю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також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виконання</w:t>
      </w:r>
      <w:r>
        <w:rPr>
          <w:rFonts w:ascii="Times New Roman" w:hAnsi="Times New Roman" w:cs="Times New Roman"/>
          <w:sz w:val="24"/>
          <w:szCs w:val="24"/>
        </w:rPr>
        <w:t xml:space="preserve"> самого договору.</w:t>
      </w:r>
      <w:r/>
    </w:p>
    <w:p>
      <w:pPr>
        <w:pStyle w:val="718"/>
        <w:numPr>
          <w:ilvl w:val="0"/>
          <w:numId w:val="35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порівняльну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/>
    </w:p>
    <w:p>
      <w:pPr>
        <w:pStyle w:val="71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</w:rPr>
        <w:t xml:space="preserve"> листа (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іноземною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мовою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цей</w:t>
      </w:r>
      <w:r>
        <w:rPr>
          <w:rFonts w:ascii="Times New Roman" w:hAnsi="Times New Roman" w:cs="Times New Roman"/>
          <w:sz w:val="24"/>
          <w:szCs w:val="24"/>
        </w:rPr>
        <w:t xml:space="preserve"> лист повинен </w:t>
      </w:r>
      <w:r>
        <w:rPr>
          <w:rFonts w:ascii="Times New Roman" w:hAnsi="Times New Roman" w:cs="Times New Roman"/>
          <w:sz w:val="24"/>
          <w:szCs w:val="24"/>
        </w:rPr>
        <w:t xml:space="preserve">супроводжуватись</w:t>
      </w:r>
      <w:r>
        <w:rPr>
          <w:rFonts w:ascii="Times New Roman" w:hAnsi="Times New Roman" w:cs="Times New Roman"/>
          <w:sz w:val="24"/>
          <w:szCs w:val="24"/>
        </w:rPr>
        <w:t xml:space="preserve"> перекладом на </w:t>
      </w:r>
      <w:r>
        <w:rPr>
          <w:rFonts w:ascii="Times New Roman" w:hAnsi="Times New Roman" w:cs="Times New Roman"/>
          <w:sz w:val="24"/>
          <w:szCs w:val="24"/>
        </w:rPr>
        <w:t xml:space="preserve">українську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мову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71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Авторизаційні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адресовані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обов’язковим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sz w:val="24"/>
          <w:szCs w:val="24"/>
        </w:rPr>
        <w:t xml:space="preserve"> та номеру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71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</w:rPr>
        <w:t xml:space="preserve">звернутися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наданої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</w:rPr>
        <w:t xml:space="preserve">, до </w:t>
      </w:r>
      <w:r>
        <w:rPr>
          <w:rFonts w:ascii="Times New Roman" w:hAnsi="Times New Roman" w:cs="Times New Roman"/>
          <w:sz w:val="24"/>
          <w:szCs w:val="24"/>
        </w:rPr>
        <w:t xml:space="preserve">органів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державної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підприємств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установ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організацій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їх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компетенції</w:t>
      </w:r>
      <w:r>
        <w:rPr>
          <w:rFonts w:ascii="Times New Roman" w:hAnsi="Times New Roman" w:cs="Times New Roman"/>
          <w:sz w:val="24"/>
          <w:szCs w:val="24"/>
        </w:rPr>
        <w:t xml:space="preserve">. 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наявність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підстав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зазначених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частині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першій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статті</w:t>
      </w:r>
      <w:r>
        <w:rPr>
          <w:rFonts w:ascii="Times New Roman" w:hAnsi="Times New Roman" w:cs="Times New Roman"/>
          <w:sz w:val="24"/>
          <w:szCs w:val="24"/>
        </w:rPr>
        <w:t xml:space="preserve"> 47 </w:t>
      </w:r>
      <w:r>
        <w:rPr>
          <w:rFonts w:ascii="Times New Roman" w:hAnsi="Times New Roman" w:cs="Times New Roman"/>
          <w:sz w:val="24"/>
          <w:szCs w:val="24"/>
        </w:rPr>
        <w:t xml:space="preserve">цього</w:t>
      </w:r>
      <w:r>
        <w:rPr>
          <w:rFonts w:ascii="Times New Roman" w:hAnsi="Times New Roman" w:cs="Times New Roman"/>
          <w:sz w:val="24"/>
          <w:szCs w:val="24"/>
        </w:rPr>
        <w:t xml:space="preserve"> Закону,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факту </w:t>
      </w:r>
      <w:r>
        <w:rPr>
          <w:rFonts w:ascii="Times New Roman" w:hAnsi="Times New Roman" w:cs="Times New Roman"/>
          <w:sz w:val="24"/>
          <w:szCs w:val="24"/>
        </w:rPr>
        <w:t xml:space="preserve">зазначення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тендерній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будь-</w:t>
      </w:r>
      <w:r>
        <w:rPr>
          <w:rFonts w:ascii="Times New Roman" w:hAnsi="Times New Roman" w:cs="Times New Roman"/>
          <w:sz w:val="24"/>
          <w:szCs w:val="24"/>
        </w:rPr>
        <w:t xml:space="preserve">якої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недостовірної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є </w:t>
      </w:r>
      <w:r>
        <w:rPr>
          <w:rFonts w:ascii="Times New Roman" w:hAnsi="Times New Roman" w:cs="Times New Roman"/>
          <w:sz w:val="24"/>
          <w:szCs w:val="24"/>
        </w:rPr>
        <w:t xml:space="preserve">суттєвою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 xml:space="preserve">визначенні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відхиляє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</w:rPr>
        <w:t xml:space="preserve"> такого </w:t>
      </w:r>
      <w:r>
        <w:rPr>
          <w:rFonts w:ascii="Times New Roman" w:hAnsi="Times New Roman" w:cs="Times New Roman"/>
          <w:sz w:val="24"/>
          <w:szCs w:val="24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71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слід читати як "або еквівалент".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Примітка:   Якщо учасник пропонує інший товар (еквівалент) ніж передбачений цією тендерною документацією, даний товар за своїми властивостями повинен повністю відповідати товару, що є предметом закупівлі за всіма показниками.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Учасник якого</w:t>
      </w:r>
      <w:r>
        <w:rPr>
          <w:rFonts w:ascii="Times New Roman" w:hAnsi="Times New Roman" w:cs="Times New Roman"/>
          <w:sz w:val="24"/>
          <w:szCs w:val="24"/>
        </w:rPr>
        <w:t xml:space="preserve"> визначено переможцем процедури закупівлі, до 01.02.2024 року проводить науково-технічну експертизу та/або експертну оцінку та/або незалежну оцінку вартості послуг, за результатом аукціону/розкриття тендерних пропозицій, вказаних в Додатку 5 до тендерної д</w:t>
      </w:r>
      <w:r>
        <w:rPr>
          <w:rFonts w:ascii="Times New Roman" w:hAnsi="Times New Roman" w:cs="Times New Roman"/>
          <w:sz w:val="24"/>
          <w:szCs w:val="24"/>
        </w:rPr>
        <w:t xml:space="preserve">окументації та надає Замовнику документ що підтверджує вартість вказаних послуг. У разі надання документу де вартість послуг буде нижча ніж зазначив Учасник за результатом аукціону/розкриття тендерних пропозицій, Учасник-Переможець зобов’язується відшкодув</w:t>
      </w:r>
      <w:r>
        <w:rPr>
          <w:rFonts w:ascii="Times New Roman" w:hAnsi="Times New Roman" w:cs="Times New Roman"/>
          <w:sz w:val="24"/>
          <w:szCs w:val="24"/>
        </w:rPr>
        <w:t xml:space="preserve">ати, на рахунок Замовника, різницю між вартістю послуг за результатом проведеної процедури закупівлі та вартістю послуг, що вказана в документі за результатом проведеної експертизи в повному обсязі (надати у складі тендерної документації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754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943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п’ятдесят чотири тисячі дев’ятсот сорок три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1"/>
  </w:num>
  <w:num w:numId="17">
    <w:abstractNumId w:val="0"/>
  </w:num>
  <w:num w:numId="18">
    <w:abstractNumId w:val="33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5"/>
  </w:num>
  <w:num w:numId="33">
    <w:abstractNumId w:val="13"/>
  </w:num>
  <w:num w:numId="34">
    <w:abstractNumId w:val="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3"/>
    <w:next w:val="71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5"/>
    <w:link w:val="7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3"/>
    <w:next w:val="71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3"/>
    <w:next w:val="71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3"/>
    <w:next w:val="71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3"/>
    <w:next w:val="71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3"/>
    <w:next w:val="71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3"/>
    <w:next w:val="71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3"/>
    <w:next w:val="71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3"/>
    <w:next w:val="71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5"/>
    <w:link w:val="33"/>
    <w:uiPriority w:val="10"/>
    <w:rPr>
      <w:sz w:val="48"/>
      <w:szCs w:val="48"/>
    </w:rPr>
  </w:style>
  <w:style w:type="paragraph" w:styleId="35">
    <w:name w:val="Subtitle"/>
    <w:basedOn w:val="713"/>
    <w:next w:val="71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5"/>
    <w:link w:val="35"/>
    <w:uiPriority w:val="11"/>
    <w:rPr>
      <w:sz w:val="24"/>
      <w:szCs w:val="24"/>
    </w:rPr>
  </w:style>
  <w:style w:type="paragraph" w:styleId="37">
    <w:name w:val="Quote"/>
    <w:basedOn w:val="713"/>
    <w:next w:val="71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3"/>
    <w:next w:val="71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5"/>
    <w:link w:val="41"/>
    <w:uiPriority w:val="99"/>
  </w:style>
  <w:style w:type="character" w:styleId="44">
    <w:name w:val="Footer Char"/>
    <w:basedOn w:val="715"/>
    <w:link w:val="724"/>
    <w:uiPriority w:val="99"/>
  </w:style>
  <w:style w:type="paragraph" w:styleId="45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4"/>
    <w:uiPriority w:val="99"/>
  </w:style>
  <w:style w:type="table" w:styleId="48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5"/>
    <w:uiPriority w:val="99"/>
    <w:unhideWhenUsed/>
    <w:rPr>
      <w:vertAlign w:val="superscript"/>
    </w:rPr>
  </w:style>
  <w:style w:type="paragraph" w:styleId="177">
    <w:name w:val="endnote text"/>
    <w:basedOn w:val="71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5"/>
    <w:uiPriority w:val="99"/>
    <w:semiHidden/>
    <w:unhideWhenUsed/>
    <w:rPr>
      <w:vertAlign w:val="superscript"/>
    </w:rPr>
  </w:style>
  <w:style w:type="paragraph" w:styleId="180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rPr>
      <w:lang w:val="uk-UA"/>
    </w:rPr>
  </w:style>
  <w:style w:type="paragraph" w:styleId="714">
    <w:name w:val="Heading 2"/>
    <w:basedOn w:val="713"/>
    <w:link w:val="73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>
    <w:name w:val="List Paragraph"/>
    <w:basedOn w:val="713"/>
    <w:link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9" w:customStyle="1">
    <w:name w:val="Абзац списку Знак"/>
    <w:link w:val="718"/>
    <w:uiPriority w:val="34"/>
    <w:qFormat/>
    <w:rPr>
      <w:rFonts w:ascii="Calibri" w:hAnsi="Calibri" w:eastAsia="Calibri" w:cs="Calibri"/>
      <w:lang w:eastAsia="zh-CN"/>
    </w:rPr>
  </w:style>
  <w:style w:type="table" w:styleId="720">
    <w:name w:val="Table Grid"/>
    <w:basedOn w:val="7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Сетка таблицы2"/>
    <w:basedOn w:val="716"/>
    <w:next w:val="72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Normal (Web)"/>
    <w:basedOn w:val="713"/>
    <w:link w:val="72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3" w:customStyle="1">
    <w:name w:val="Сетка таблицы1"/>
    <w:basedOn w:val="716"/>
    <w:next w:val="72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4">
    <w:name w:val="Footer"/>
    <w:basedOn w:val="713"/>
    <w:link w:val="72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5" w:customStyle="1">
    <w:name w:val="Нижній колонтитул Знак"/>
    <w:basedOn w:val="715"/>
    <w:link w:val="724"/>
    <w:uiPriority w:val="99"/>
    <w:rPr>
      <w:rFonts w:ascii="Calibri" w:hAnsi="Calibri" w:eastAsia="Calibri" w:cs="Calibri"/>
      <w:lang w:eastAsia="zh-CN"/>
    </w:rPr>
  </w:style>
  <w:style w:type="paragraph" w:styleId="72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7">
    <w:name w:val="Hyperlink"/>
    <w:basedOn w:val="715"/>
    <w:uiPriority w:val="99"/>
    <w:unhideWhenUsed/>
    <w:rPr>
      <w:color w:val="0563c1" w:themeColor="hyperlink"/>
      <w:u w:val="single"/>
    </w:rPr>
  </w:style>
  <w:style w:type="character" w:styleId="728" w:customStyle="1">
    <w:name w:val="xfm_93972720"/>
    <w:basedOn w:val="715"/>
  </w:style>
  <w:style w:type="character" w:styleId="729" w:customStyle="1">
    <w:name w:val="Звичайний (веб) Знак"/>
    <w:link w:val="722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30">
    <w:name w:val="Body Text 2"/>
    <w:basedOn w:val="713"/>
    <w:link w:val="73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1" w:customStyle="1">
    <w:name w:val="Основний текст 2 Знак"/>
    <w:basedOn w:val="715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3" w:customStyle="1">
    <w:name w:val="Заголовок 2 Знак"/>
    <w:basedOn w:val="715"/>
    <w:link w:val="71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4">
    <w:name w:val="No Spacing"/>
    <w:link w:val="73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5" w:customStyle="1">
    <w:name w:val="Без інтервалів Знак"/>
    <w:basedOn w:val="715"/>
    <w:link w:val="734"/>
    <w:uiPriority w:val="1"/>
    <w:rPr>
      <w:rFonts w:ascii="Calibri" w:hAnsi="Calibri" w:eastAsia="Calibri" w:cs="Times New Roman"/>
      <w:lang w:val="uk-UA"/>
    </w:rPr>
  </w:style>
  <w:style w:type="character" w:styleId="736" w:customStyle="1">
    <w:name w:val="Другое_"/>
    <w:basedOn w:val="715"/>
    <w:link w:val="737"/>
    <w:rPr>
      <w:rFonts w:ascii="Calibri" w:hAnsi="Calibri" w:eastAsia="Calibri" w:cs="Calibri"/>
      <w:sz w:val="20"/>
      <w:szCs w:val="20"/>
    </w:rPr>
  </w:style>
  <w:style w:type="paragraph" w:styleId="737" w:customStyle="1">
    <w:name w:val="Другое"/>
    <w:basedOn w:val="713"/>
    <w:link w:val="73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9" w:customStyle="1">
    <w:name w:val="Основной текст (2)_"/>
    <w:basedOn w:val="715"/>
    <w:link w:val="740"/>
    <w:rPr>
      <w:rFonts w:eastAsia="Times New Roman" w:cs="Times New Roman"/>
      <w:shd w:val="clear" w:color="auto" w:fill="ffffff"/>
    </w:rPr>
  </w:style>
  <w:style w:type="paragraph" w:styleId="740" w:customStyle="1">
    <w:name w:val="Основной текст (2)"/>
    <w:basedOn w:val="713"/>
    <w:link w:val="73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1" w:customStyle="1">
    <w:name w:val="Текст у виносці Знак"/>
    <w:basedOn w:val="715"/>
    <w:link w:val="7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2">
    <w:name w:val="Balloon Text"/>
    <w:basedOn w:val="713"/>
    <w:link w:val="74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3" w:customStyle="1">
    <w:name w:val="Текст у виносці Знак1"/>
    <w:basedOn w:val="71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4" w:customStyle="1">
    <w:name w:val="T23"/>
    <w:rPr>
      <w:rFonts w:hint="default" w:ascii="Times New Roman" w:hAnsi="Times New Roman" w:eastAsia="Times New Roman1" w:cs="Times New Roman"/>
    </w:rPr>
  </w:style>
  <w:style w:type="paragraph" w:styleId="745" w:customStyle="1">
    <w:name w:val="Абзац списку1"/>
    <w:basedOn w:val="71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6" w:customStyle="1">
    <w:name w:val="markedcontent"/>
    <w:basedOn w:val="715"/>
  </w:style>
  <w:style w:type="paragraph" w:styleId="747">
    <w:name w:val="annotation text"/>
    <w:basedOn w:val="713"/>
    <w:link w:val="748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8" w:customStyle="1">
    <w:name w:val="Текст примітки Знак"/>
    <w:basedOn w:val="715"/>
    <w:link w:val="7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2023-12-13T21:48:20Z</dcterms:modified>
</cp:coreProperties>
</file>