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654C0FF6" w14:textId="77777777" w:rsidR="001E324C" w:rsidRPr="001E324C" w:rsidRDefault="00245020" w:rsidP="001E324C">
      <w:pPr>
        <w:pStyle w:val="2"/>
        <w:shd w:val="clear" w:color="auto" w:fill="FFFFFF" w:themeFill="background1"/>
        <w:spacing w:before="0" w:beforeAutospacing="0" w:after="0" w:afterAutospacing="0"/>
        <w:jc w:val="both"/>
        <w:textAlignment w:val="baseline"/>
        <w:rPr>
          <w:rFonts w:eastAsiaTheme="minorHAnsi"/>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E324C" w:rsidRPr="001E324C">
        <w:rPr>
          <w:rFonts w:eastAsiaTheme="minorHAnsi"/>
          <w:b w:val="0"/>
          <w:bCs w:val="0"/>
          <w:sz w:val="24"/>
          <w:szCs w:val="24"/>
        </w:rPr>
        <w:t>Закупівля порошкових засобів для миючих пилососів за кодом CPV за ЄЗС ДК 021:2015: 39830000-9 Продукція для чищення</w:t>
      </w:r>
    </w:p>
    <w:p w14:paraId="4379B8B3" w14:textId="320D3AC4" w:rsidR="00F90C90" w:rsidRPr="00506EE3" w:rsidRDefault="00F90C9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p>
    <w:p w14:paraId="121122A8" w14:textId="65ED068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E324C">
        <w:rPr>
          <w:rFonts w:ascii="Times New Roman" w:hAnsi="Times New Roman" w:cs="Times New Roman"/>
          <w:sz w:val="24"/>
          <w:szCs w:val="24"/>
        </w:rPr>
        <w:t>10</w:t>
      </w:r>
      <w:r w:rsidR="001944C8">
        <w:rPr>
          <w:rFonts w:ascii="Times New Roman" w:hAnsi="Times New Roman" w:cs="Times New Roman"/>
          <w:sz w:val="24"/>
          <w:szCs w:val="24"/>
        </w:rPr>
        <w:t>-</w:t>
      </w:r>
      <w:r w:rsidR="001E324C">
        <w:rPr>
          <w:rFonts w:ascii="Times New Roman" w:hAnsi="Times New Roman" w:cs="Times New Roman"/>
          <w:sz w:val="24"/>
          <w:szCs w:val="24"/>
        </w:rPr>
        <w:t>09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1E324C">
        <w:rPr>
          <w:rFonts w:ascii="Times New Roman" w:hAnsi="Times New Roman" w:cs="Times New Roman"/>
          <w:sz w:val="24"/>
          <w:szCs w:val="24"/>
        </w:rPr>
        <w:t>2363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FCF32B7" w14:textId="61628AA9" w:rsidR="00506EE3" w:rsidRPr="00506EE3" w:rsidRDefault="009D1AE9" w:rsidP="00506EE3">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E324C" w:rsidRPr="001E324C">
        <w:rPr>
          <w:rFonts w:eastAsiaTheme="minorHAnsi"/>
          <w:b w:val="0"/>
          <w:bCs w:val="0"/>
          <w:sz w:val="24"/>
          <w:szCs w:val="24"/>
        </w:rPr>
        <w:t>Закупівля порошкових засобів для миючих пилососів за кодом CPV за ЄЗС ДК 021:2015: 39830000-9 Продукція для чищення</w:t>
      </w:r>
    </w:p>
    <w:p w14:paraId="7C8E816B" w14:textId="1AD947B6" w:rsidR="00CD0EC0" w:rsidRPr="002F7B4B" w:rsidRDefault="00CD0EC0" w:rsidP="002F7B4B">
      <w:pPr>
        <w:spacing w:after="0" w:line="240" w:lineRule="auto"/>
        <w:jc w:val="both"/>
        <w:rPr>
          <w:rFonts w:ascii="Times New Roman" w:hAnsi="Times New Roman" w:cs="Times New Roman"/>
          <w:spacing w:val="1"/>
          <w:sz w:val="24"/>
          <w:szCs w:val="24"/>
        </w:rPr>
      </w:pPr>
    </w:p>
    <w:p w14:paraId="7C3C6B2E" w14:textId="77777777" w:rsidR="001E324C" w:rsidRPr="001E324C" w:rsidRDefault="001E324C" w:rsidP="001E324C">
      <w:pPr>
        <w:spacing w:after="0" w:line="240" w:lineRule="auto"/>
        <w:jc w:val="center"/>
        <w:rPr>
          <w:rFonts w:ascii="Times New Roman" w:hAnsi="Times New Roman" w:cs="Times New Roman"/>
          <w:b/>
          <w:bCs/>
          <w:color w:val="000000" w:themeColor="text1"/>
          <w:sz w:val="24"/>
          <w:szCs w:val="24"/>
        </w:rPr>
      </w:pPr>
      <w:bookmarkStart w:id="0" w:name="_Hlk204247675"/>
      <w:r w:rsidRPr="001E324C">
        <w:rPr>
          <w:rFonts w:ascii="Times New Roman" w:hAnsi="Times New Roman" w:cs="Times New Roman"/>
          <w:b/>
          <w:bCs/>
          <w:color w:val="000000" w:themeColor="text1"/>
          <w:sz w:val="24"/>
          <w:szCs w:val="24"/>
        </w:rPr>
        <w:t>ТЕХНІЧНІ ВИМОГИ</w:t>
      </w:r>
    </w:p>
    <w:p w14:paraId="34E8D167" w14:textId="77777777" w:rsidR="001E324C" w:rsidRPr="001E324C" w:rsidRDefault="001E324C" w:rsidP="001E324C">
      <w:pPr>
        <w:spacing w:after="0" w:line="240" w:lineRule="auto"/>
        <w:jc w:val="center"/>
        <w:rPr>
          <w:rFonts w:ascii="Times New Roman" w:hAnsi="Times New Roman" w:cs="Times New Roman"/>
          <w:b/>
          <w:bCs/>
          <w:color w:val="000000" w:themeColor="text1"/>
          <w:sz w:val="24"/>
          <w:szCs w:val="24"/>
        </w:rPr>
      </w:pPr>
    </w:p>
    <w:tbl>
      <w:tblPr>
        <w:tblStyle w:val="a5"/>
        <w:tblW w:w="9067" w:type="dxa"/>
        <w:tblLook w:val="04A0" w:firstRow="1" w:lastRow="0" w:firstColumn="1" w:lastColumn="0" w:noHBand="0" w:noVBand="1"/>
      </w:tblPr>
      <w:tblGrid>
        <w:gridCol w:w="562"/>
        <w:gridCol w:w="5529"/>
        <w:gridCol w:w="1695"/>
        <w:gridCol w:w="1281"/>
      </w:tblGrid>
      <w:tr w:rsidR="001E324C" w:rsidRPr="001E324C" w14:paraId="4A4D1D8D" w14:textId="77777777" w:rsidTr="0055664F">
        <w:tc>
          <w:tcPr>
            <w:tcW w:w="562" w:type="dxa"/>
            <w:vAlign w:val="center"/>
          </w:tcPr>
          <w:bookmarkEnd w:id="0"/>
          <w:p w14:paraId="62B62279" w14:textId="77777777" w:rsidR="001E324C" w:rsidRPr="001E324C" w:rsidRDefault="001E324C" w:rsidP="0055664F">
            <w:pPr>
              <w:pStyle w:val="a6"/>
              <w:jc w:val="center"/>
              <w:rPr>
                <w:b/>
                <w:bCs/>
                <w:color w:val="000000" w:themeColor="text1"/>
              </w:rPr>
            </w:pPr>
            <w:r w:rsidRPr="001E324C">
              <w:rPr>
                <w:b/>
                <w:bCs/>
                <w:color w:val="000000" w:themeColor="text1"/>
              </w:rPr>
              <w:t>№ з/п</w:t>
            </w:r>
          </w:p>
        </w:tc>
        <w:tc>
          <w:tcPr>
            <w:tcW w:w="5529" w:type="dxa"/>
            <w:vAlign w:val="center"/>
          </w:tcPr>
          <w:p w14:paraId="005575CB" w14:textId="77777777" w:rsidR="001E324C" w:rsidRPr="001E324C" w:rsidRDefault="001E324C" w:rsidP="0055664F">
            <w:pPr>
              <w:pStyle w:val="a6"/>
              <w:jc w:val="center"/>
              <w:rPr>
                <w:b/>
                <w:bCs/>
                <w:color w:val="000000" w:themeColor="text1"/>
              </w:rPr>
            </w:pPr>
            <w:r w:rsidRPr="001E324C">
              <w:rPr>
                <w:b/>
                <w:bCs/>
                <w:color w:val="000000" w:themeColor="text1"/>
              </w:rPr>
              <w:t>Назва товару</w:t>
            </w:r>
          </w:p>
        </w:tc>
        <w:tc>
          <w:tcPr>
            <w:tcW w:w="1695" w:type="dxa"/>
            <w:vAlign w:val="center"/>
          </w:tcPr>
          <w:p w14:paraId="6994AD8F" w14:textId="77777777" w:rsidR="001E324C" w:rsidRPr="001E324C" w:rsidRDefault="001E324C" w:rsidP="0055664F">
            <w:pPr>
              <w:pStyle w:val="a6"/>
              <w:jc w:val="center"/>
              <w:rPr>
                <w:b/>
                <w:bCs/>
                <w:color w:val="000000" w:themeColor="text1"/>
              </w:rPr>
            </w:pPr>
            <w:r w:rsidRPr="001E324C">
              <w:rPr>
                <w:b/>
                <w:bCs/>
                <w:color w:val="000000" w:themeColor="text1"/>
              </w:rPr>
              <w:t>Одиниця виміру</w:t>
            </w:r>
          </w:p>
        </w:tc>
        <w:tc>
          <w:tcPr>
            <w:tcW w:w="1281" w:type="dxa"/>
            <w:vAlign w:val="center"/>
          </w:tcPr>
          <w:p w14:paraId="07D3255D" w14:textId="77777777" w:rsidR="001E324C" w:rsidRPr="001E324C" w:rsidRDefault="001E324C" w:rsidP="0055664F">
            <w:pPr>
              <w:pStyle w:val="a6"/>
              <w:jc w:val="center"/>
              <w:rPr>
                <w:b/>
                <w:bCs/>
                <w:color w:val="000000" w:themeColor="text1"/>
              </w:rPr>
            </w:pPr>
            <w:r w:rsidRPr="001E324C">
              <w:rPr>
                <w:b/>
                <w:bCs/>
                <w:color w:val="000000" w:themeColor="text1"/>
              </w:rPr>
              <w:t>Кількість</w:t>
            </w:r>
          </w:p>
        </w:tc>
      </w:tr>
      <w:tr w:rsidR="001E324C" w:rsidRPr="001E324C" w14:paraId="1BAB5382" w14:textId="77777777" w:rsidTr="0055664F">
        <w:tc>
          <w:tcPr>
            <w:tcW w:w="562" w:type="dxa"/>
            <w:vAlign w:val="center"/>
          </w:tcPr>
          <w:p w14:paraId="0B738FFB" w14:textId="77777777" w:rsidR="001E324C" w:rsidRPr="001E324C" w:rsidRDefault="001E324C" w:rsidP="0055664F">
            <w:pPr>
              <w:pStyle w:val="a6"/>
              <w:jc w:val="center"/>
              <w:rPr>
                <w:color w:val="000000" w:themeColor="text1"/>
              </w:rPr>
            </w:pPr>
            <w:r w:rsidRPr="001E324C">
              <w:rPr>
                <w:color w:val="000000" w:themeColor="text1"/>
              </w:rPr>
              <w:t>1.</w:t>
            </w:r>
          </w:p>
        </w:tc>
        <w:tc>
          <w:tcPr>
            <w:tcW w:w="5529" w:type="dxa"/>
            <w:vAlign w:val="center"/>
          </w:tcPr>
          <w:p w14:paraId="6B6736EB" w14:textId="77777777" w:rsidR="001E324C" w:rsidRPr="001E324C" w:rsidRDefault="001E324C" w:rsidP="0055664F">
            <w:pPr>
              <w:pStyle w:val="ae"/>
              <w:rPr>
                <w:rFonts w:ascii="Times New Roman" w:hAnsi="Times New Roman" w:cs="Times New Roman"/>
                <w:color w:val="000000" w:themeColor="text1"/>
                <w:sz w:val="24"/>
                <w:szCs w:val="24"/>
              </w:rPr>
            </w:pPr>
            <w:bookmarkStart w:id="1" w:name="_Hlk207981186"/>
            <w:proofErr w:type="spellStart"/>
            <w:r w:rsidRPr="001E324C">
              <w:rPr>
                <w:rFonts w:ascii="Times New Roman" w:hAnsi="Times New Roman" w:cs="Times New Roman"/>
                <w:color w:val="000000" w:themeColor="text1"/>
                <w:sz w:val="24"/>
                <w:szCs w:val="24"/>
              </w:rPr>
              <w:t>Порошковий</w:t>
            </w:r>
            <w:proofErr w:type="spellEnd"/>
            <w:r w:rsidRPr="001E324C">
              <w:rPr>
                <w:rFonts w:ascii="Times New Roman" w:hAnsi="Times New Roman" w:cs="Times New Roman"/>
                <w:color w:val="000000" w:themeColor="text1"/>
                <w:sz w:val="24"/>
                <w:szCs w:val="24"/>
              </w:rPr>
              <w:t xml:space="preserve"> </w:t>
            </w:r>
            <w:proofErr w:type="spellStart"/>
            <w:r w:rsidRPr="001E324C">
              <w:rPr>
                <w:rFonts w:ascii="Times New Roman" w:hAnsi="Times New Roman" w:cs="Times New Roman"/>
                <w:color w:val="000000" w:themeColor="text1"/>
                <w:sz w:val="24"/>
                <w:szCs w:val="24"/>
              </w:rPr>
              <w:t>засіб</w:t>
            </w:r>
            <w:proofErr w:type="spellEnd"/>
            <w:r w:rsidRPr="001E324C">
              <w:rPr>
                <w:rFonts w:ascii="Times New Roman" w:hAnsi="Times New Roman" w:cs="Times New Roman"/>
                <w:color w:val="000000" w:themeColor="text1"/>
                <w:sz w:val="24"/>
                <w:szCs w:val="24"/>
              </w:rPr>
              <w:t xml:space="preserve"> для </w:t>
            </w:r>
            <w:proofErr w:type="spellStart"/>
            <w:r w:rsidRPr="001E324C">
              <w:rPr>
                <w:rFonts w:ascii="Times New Roman" w:hAnsi="Times New Roman" w:cs="Times New Roman"/>
                <w:color w:val="000000" w:themeColor="text1"/>
                <w:sz w:val="24"/>
                <w:szCs w:val="24"/>
              </w:rPr>
              <w:t>миючих</w:t>
            </w:r>
            <w:proofErr w:type="spellEnd"/>
            <w:r w:rsidRPr="001E324C">
              <w:rPr>
                <w:rFonts w:ascii="Times New Roman" w:hAnsi="Times New Roman" w:cs="Times New Roman"/>
                <w:color w:val="000000" w:themeColor="text1"/>
                <w:sz w:val="24"/>
                <w:szCs w:val="24"/>
              </w:rPr>
              <w:t xml:space="preserve"> </w:t>
            </w:r>
            <w:proofErr w:type="spellStart"/>
            <w:r w:rsidRPr="001E324C">
              <w:rPr>
                <w:rFonts w:ascii="Times New Roman" w:hAnsi="Times New Roman" w:cs="Times New Roman"/>
                <w:color w:val="000000" w:themeColor="text1"/>
                <w:sz w:val="24"/>
                <w:szCs w:val="24"/>
              </w:rPr>
              <w:t>пилососів</w:t>
            </w:r>
            <w:proofErr w:type="spellEnd"/>
            <w:r w:rsidRPr="001E324C">
              <w:rPr>
                <w:rFonts w:ascii="Times New Roman" w:hAnsi="Times New Roman" w:cs="Times New Roman"/>
                <w:color w:val="000000" w:themeColor="text1"/>
                <w:sz w:val="24"/>
                <w:szCs w:val="24"/>
              </w:rPr>
              <w:t xml:space="preserve"> для </w:t>
            </w:r>
            <w:proofErr w:type="spellStart"/>
            <w:r w:rsidRPr="001E324C">
              <w:rPr>
                <w:rFonts w:ascii="Times New Roman" w:hAnsi="Times New Roman" w:cs="Times New Roman"/>
                <w:color w:val="000000" w:themeColor="text1"/>
                <w:sz w:val="24"/>
                <w:szCs w:val="24"/>
              </w:rPr>
              <w:t>чищення</w:t>
            </w:r>
            <w:proofErr w:type="spellEnd"/>
            <w:r w:rsidRPr="001E324C">
              <w:rPr>
                <w:rFonts w:ascii="Times New Roman" w:hAnsi="Times New Roman" w:cs="Times New Roman"/>
                <w:color w:val="000000" w:themeColor="text1"/>
                <w:sz w:val="24"/>
                <w:szCs w:val="24"/>
              </w:rPr>
              <w:t xml:space="preserve"> </w:t>
            </w:r>
            <w:proofErr w:type="spellStart"/>
            <w:r w:rsidRPr="001E324C">
              <w:rPr>
                <w:rFonts w:ascii="Times New Roman" w:hAnsi="Times New Roman" w:cs="Times New Roman"/>
                <w:color w:val="000000" w:themeColor="text1"/>
                <w:sz w:val="24"/>
                <w:szCs w:val="24"/>
              </w:rPr>
              <w:t>килимів</w:t>
            </w:r>
            <w:proofErr w:type="spellEnd"/>
            <w:r w:rsidRPr="001E324C">
              <w:rPr>
                <w:rFonts w:ascii="Times New Roman" w:hAnsi="Times New Roman" w:cs="Times New Roman"/>
                <w:color w:val="000000" w:themeColor="text1"/>
                <w:sz w:val="24"/>
                <w:szCs w:val="24"/>
              </w:rPr>
              <w:t>, 10 кг</w:t>
            </w:r>
            <w:bookmarkEnd w:id="1"/>
          </w:p>
        </w:tc>
        <w:tc>
          <w:tcPr>
            <w:tcW w:w="1695" w:type="dxa"/>
            <w:vAlign w:val="center"/>
          </w:tcPr>
          <w:p w14:paraId="71B2D20D" w14:textId="77777777" w:rsidR="001E324C" w:rsidRPr="001E324C" w:rsidRDefault="001E324C" w:rsidP="0055664F">
            <w:pPr>
              <w:pStyle w:val="a6"/>
              <w:jc w:val="center"/>
              <w:rPr>
                <w:color w:val="000000" w:themeColor="text1"/>
              </w:rPr>
            </w:pPr>
            <w:r w:rsidRPr="001E324C">
              <w:rPr>
                <w:color w:val="000000" w:themeColor="text1"/>
              </w:rPr>
              <w:t>шт.</w:t>
            </w:r>
          </w:p>
        </w:tc>
        <w:tc>
          <w:tcPr>
            <w:tcW w:w="1281" w:type="dxa"/>
            <w:vAlign w:val="center"/>
          </w:tcPr>
          <w:p w14:paraId="74312026" w14:textId="77777777" w:rsidR="001E324C" w:rsidRPr="001E324C" w:rsidRDefault="001E324C" w:rsidP="0055664F">
            <w:pPr>
              <w:pStyle w:val="a6"/>
              <w:jc w:val="center"/>
              <w:rPr>
                <w:color w:val="000000" w:themeColor="text1"/>
              </w:rPr>
            </w:pPr>
            <w:r w:rsidRPr="001E324C">
              <w:rPr>
                <w:color w:val="000000" w:themeColor="text1"/>
              </w:rPr>
              <w:t>2</w:t>
            </w:r>
          </w:p>
        </w:tc>
      </w:tr>
    </w:tbl>
    <w:p w14:paraId="16AF65E4" w14:textId="77777777" w:rsidR="001E324C" w:rsidRPr="001E324C" w:rsidRDefault="001E324C" w:rsidP="001E324C">
      <w:pPr>
        <w:spacing w:after="0" w:line="240" w:lineRule="auto"/>
        <w:jc w:val="both"/>
        <w:rPr>
          <w:rFonts w:ascii="Times New Roman" w:hAnsi="Times New Roman" w:cs="Times New Roman"/>
          <w:color w:val="000000" w:themeColor="text1"/>
          <w:sz w:val="24"/>
          <w:szCs w:val="24"/>
        </w:rPr>
      </w:pPr>
    </w:p>
    <w:p w14:paraId="61E49020" w14:textId="77777777" w:rsidR="001E324C" w:rsidRPr="001E324C" w:rsidRDefault="001E324C" w:rsidP="001E324C">
      <w:pPr>
        <w:spacing w:after="0" w:line="240" w:lineRule="auto"/>
        <w:ind w:firstLine="567"/>
        <w:jc w:val="both"/>
        <w:rPr>
          <w:rFonts w:ascii="Times New Roman" w:hAnsi="Times New Roman" w:cs="Times New Roman"/>
          <w:i/>
          <w:iCs/>
          <w:color w:val="000000" w:themeColor="text1"/>
          <w:sz w:val="24"/>
          <w:szCs w:val="24"/>
        </w:rPr>
      </w:pPr>
      <w:bookmarkStart w:id="2" w:name="_Hlk209022262"/>
      <w:r w:rsidRPr="001E324C">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E324C">
        <w:rPr>
          <w:rFonts w:ascii="Times New Roman" w:hAnsi="Times New Roman" w:cs="Times New Roman"/>
          <w:i/>
          <w:iCs/>
          <w:color w:val="000000" w:themeColor="text1"/>
          <w:sz w:val="24"/>
          <w:szCs w:val="24"/>
          <w:lang w:eastAsia="ru-RU"/>
        </w:rPr>
        <w:t>проєкту</w:t>
      </w:r>
      <w:proofErr w:type="spellEnd"/>
      <w:r w:rsidRPr="001E324C">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1E324C">
        <w:rPr>
          <w:rFonts w:ascii="Times New Roman" w:hAnsi="Times New Roman" w:cs="Times New Roman"/>
          <w:i/>
          <w:iCs/>
          <w:color w:val="000000" w:themeColor="text1"/>
          <w:sz w:val="24"/>
          <w:szCs w:val="24"/>
        </w:rPr>
        <w:t>.</w:t>
      </w:r>
    </w:p>
    <w:bookmarkEnd w:id="2"/>
    <w:p w14:paraId="187A1397"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p>
    <w:p w14:paraId="1E4E33EA" w14:textId="77777777" w:rsidR="001E324C" w:rsidRPr="001E324C" w:rsidRDefault="001E324C" w:rsidP="001E324C">
      <w:pPr>
        <w:spacing w:line="276" w:lineRule="auto"/>
        <w:ind w:firstLine="567"/>
        <w:jc w:val="center"/>
        <w:rPr>
          <w:rFonts w:ascii="Times New Roman" w:hAnsi="Times New Roman" w:cs="Times New Roman"/>
          <w:b/>
          <w:bCs/>
          <w:color w:val="000000" w:themeColor="text1"/>
          <w:sz w:val="24"/>
          <w:szCs w:val="24"/>
        </w:rPr>
      </w:pPr>
      <w:bookmarkStart w:id="3" w:name="_Hlk204248034"/>
      <w:r w:rsidRPr="001E324C">
        <w:rPr>
          <w:rFonts w:ascii="Times New Roman" w:hAnsi="Times New Roman" w:cs="Times New Roman"/>
          <w:b/>
          <w:bCs/>
          <w:color w:val="000000" w:themeColor="text1"/>
          <w:sz w:val="24"/>
          <w:szCs w:val="24"/>
        </w:rPr>
        <w:t xml:space="preserve">Специфікація товару </w:t>
      </w:r>
    </w:p>
    <w:tbl>
      <w:tblPr>
        <w:tblStyle w:val="a5"/>
        <w:tblW w:w="9072" w:type="dxa"/>
        <w:tblInd w:w="-5" w:type="dxa"/>
        <w:tblLook w:val="04A0" w:firstRow="1" w:lastRow="0" w:firstColumn="1" w:lastColumn="0" w:noHBand="0" w:noVBand="1"/>
      </w:tblPr>
      <w:tblGrid>
        <w:gridCol w:w="563"/>
        <w:gridCol w:w="5988"/>
        <w:gridCol w:w="1246"/>
        <w:gridCol w:w="1275"/>
      </w:tblGrid>
      <w:tr w:rsidR="001E324C" w:rsidRPr="001E324C" w14:paraId="27CE9442" w14:textId="77777777" w:rsidTr="0055664F">
        <w:tc>
          <w:tcPr>
            <w:tcW w:w="569" w:type="dxa"/>
            <w:vAlign w:val="center"/>
          </w:tcPr>
          <w:p w14:paraId="392A6A5B" w14:textId="77777777" w:rsidR="001E324C" w:rsidRPr="001E324C" w:rsidRDefault="001E324C" w:rsidP="0055664F">
            <w:pPr>
              <w:suppressAutoHyphens/>
              <w:contextualSpacing/>
              <w:jc w:val="center"/>
              <w:rPr>
                <w:rFonts w:ascii="Times New Roman" w:hAnsi="Times New Roman" w:cs="Times New Roman"/>
                <w:b/>
                <w:bCs/>
                <w:color w:val="000000" w:themeColor="text1"/>
                <w:sz w:val="24"/>
                <w:szCs w:val="24"/>
              </w:rPr>
            </w:pPr>
            <w:r w:rsidRPr="001E324C">
              <w:rPr>
                <w:rFonts w:ascii="Times New Roman" w:hAnsi="Times New Roman" w:cs="Times New Roman"/>
                <w:b/>
                <w:bCs/>
                <w:color w:val="000000" w:themeColor="text1"/>
                <w:sz w:val="24"/>
                <w:szCs w:val="24"/>
              </w:rPr>
              <w:t>№</w:t>
            </w:r>
          </w:p>
          <w:p w14:paraId="2B3EF070" w14:textId="77777777" w:rsidR="001E324C" w:rsidRPr="001E324C" w:rsidRDefault="001E324C" w:rsidP="0055664F">
            <w:pPr>
              <w:suppressAutoHyphens/>
              <w:contextualSpacing/>
              <w:jc w:val="both"/>
              <w:rPr>
                <w:rFonts w:ascii="Times New Roman" w:hAnsi="Times New Roman" w:cs="Times New Roman"/>
                <w:b/>
                <w:bCs/>
                <w:color w:val="000000" w:themeColor="text1"/>
                <w:sz w:val="24"/>
                <w:szCs w:val="24"/>
              </w:rPr>
            </w:pPr>
            <w:r w:rsidRPr="001E324C">
              <w:rPr>
                <w:rFonts w:ascii="Times New Roman" w:hAnsi="Times New Roman" w:cs="Times New Roman"/>
                <w:b/>
                <w:bCs/>
                <w:color w:val="000000" w:themeColor="text1"/>
                <w:sz w:val="24"/>
                <w:szCs w:val="24"/>
              </w:rPr>
              <w:t>з/п</w:t>
            </w:r>
          </w:p>
        </w:tc>
        <w:tc>
          <w:tcPr>
            <w:tcW w:w="6528" w:type="dxa"/>
            <w:vAlign w:val="center"/>
          </w:tcPr>
          <w:p w14:paraId="289AC830" w14:textId="77777777" w:rsidR="001E324C" w:rsidRPr="001E324C" w:rsidRDefault="001E324C" w:rsidP="0055664F">
            <w:pPr>
              <w:suppressAutoHyphens/>
              <w:contextualSpacing/>
              <w:jc w:val="center"/>
              <w:rPr>
                <w:rFonts w:ascii="Times New Roman" w:hAnsi="Times New Roman" w:cs="Times New Roman"/>
                <w:b/>
                <w:bCs/>
                <w:color w:val="000000" w:themeColor="text1"/>
                <w:sz w:val="24"/>
                <w:szCs w:val="24"/>
              </w:rPr>
            </w:pPr>
            <w:r w:rsidRPr="001E324C">
              <w:rPr>
                <w:rFonts w:ascii="Times New Roman" w:hAnsi="Times New Roman" w:cs="Times New Roman"/>
                <w:b/>
                <w:bCs/>
                <w:color w:val="000000" w:themeColor="text1"/>
                <w:sz w:val="24"/>
                <w:szCs w:val="24"/>
              </w:rPr>
              <w:t>Найменування товару</w:t>
            </w:r>
          </w:p>
        </w:tc>
        <w:tc>
          <w:tcPr>
            <w:tcW w:w="1251" w:type="dxa"/>
            <w:vAlign w:val="center"/>
          </w:tcPr>
          <w:p w14:paraId="54FEA890" w14:textId="77777777" w:rsidR="001E324C" w:rsidRPr="001E324C" w:rsidRDefault="001E324C" w:rsidP="0055664F">
            <w:pPr>
              <w:suppressAutoHyphens/>
              <w:contextualSpacing/>
              <w:jc w:val="center"/>
              <w:rPr>
                <w:rFonts w:ascii="Times New Roman" w:hAnsi="Times New Roman" w:cs="Times New Roman"/>
                <w:b/>
                <w:bCs/>
                <w:color w:val="000000" w:themeColor="text1"/>
                <w:sz w:val="24"/>
                <w:szCs w:val="24"/>
              </w:rPr>
            </w:pPr>
            <w:r w:rsidRPr="001E324C">
              <w:rPr>
                <w:rFonts w:ascii="Times New Roman" w:hAnsi="Times New Roman" w:cs="Times New Roman"/>
                <w:b/>
                <w:bCs/>
                <w:color w:val="000000" w:themeColor="text1"/>
                <w:sz w:val="24"/>
                <w:szCs w:val="24"/>
              </w:rPr>
              <w:t>Одиниця виміру</w:t>
            </w:r>
          </w:p>
        </w:tc>
        <w:tc>
          <w:tcPr>
            <w:tcW w:w="724" w:type="dxa"/>
            <w:vAlign w:val="center"/>
          </w:tcPr>
          <w:p w14:paraId="48956EF5" w14:textId="77777777" w:rsidR="001E324C" w:rsidRPr="001E324C" w:rsidRDefault="001E324C" w:rsidP="0055664F">
            <w:pPr>
              <w:suppressAutoHyphens/>
              <w:contextualSpacing/>
              <w:jc w:val="both"/>
              <w:rPr>
                <w:rFonts w:ascii="Times New Roman" w:hAnsi="Times New Roman" w:cs="Times New Roman"/>
                <w:b/>
                <w:bCs/>
                <w:color w:val="000000" w:themeColor="text1"/>
                <w:sz w:val="24"/>
                <w:szCs w:val="24"/>
              </w:rPr>
            </w:pPr>
            <w:r w:rsidRPr="001E324C">
              <w:rPr>
                <w:rFonts w:ascii="Times New Roman" w:hAnsi="Times New Roman" w:cs="Times New Roman"/>
                <w:b/>
                <w:bCs/>
                <w:color w:val="000000" w:themeColor="text1"/>
                <w:sz w:val="24"/>
                <w:szCs w:val="24"/>
              </w:rPr>
              <w:t>Кількість</w:t>
            </w:r>
          </w:p>
        </w:tc>
      </w:tr>
      <w:tr w:rsidR="001E324C" w:rsidRPr="001E324C" w14:paraId="00E9131A" w14:textId="77777777" w:rsidTr="0055664F">
        <w:tc>
          <w:tcPr>
            <w:tcW w:w="569" w:type="dxa"/>
            <w:vAlign w:val="center"/>
          </w:tcPr>
          <w:p w14:paraId="3B1A66FE" w14:textId="77777777" w:rsidR="001E324C" w:rsidRPr="001E324C" w:rsidRDefault="001E324C" w:rsidP="0055664F">
            <w:pPr>
              <w:suppressAutoHyphens/>
              <w:contextualSpacing/>
              <w:jc w:val="center"/>
              <w:rPr>
                <w:rFonts w:ascii="Times New Roman" w:hAnsi="Times New Roman" w:cs="Times New Roman"/>
                <w:color w:val="000000" w:themeColor="text1"/>
                <w:sz w:val="24"/>
                <w:szCs w:val="24"/>
              </w:rPr>
            </w:pPr>
            <w:r w:rsidRPr="001E324C">
              <w:rPr>
                <w:rFonts w:ascii="Times New Roman" w:hAnsi="Times New Roman" w:cs="Times New Roman"/>
                <w:b/>
                <w:bCs/>
                <w:color w:val="000000" w:themeColor="text1"/>
                <w:sz w:val="24"/>
                <w:szCs w:val="24"/>
              </w:rPr>
              <w:t>1.</w:t>
            </w:r>
          </w:p>
        </w:tc>
        <w:tc>
          <w:tcPr>
            <w:tcW w:w="6528" w:type="dxa"/>
            <w:vAlign w:val="center"/>
          </w:tcPr>
          <w:p w14:paraId="7EEDEEE5" w14:textId="77777777" w:rsidR="001E324C" w:rsidRPr="001E324C" w:rsidRDefault="001E324C" w:rsidP="0055664F">
            <w:pPr>
              <w:suppressAutoHyphens/>
              <w:contextualSpacing/>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Порошковий засіб для миючих пилососів для чищення килимів, 10 кг</w:t>
            </w:r>
          </w:p>
        </w:tc>
        <w:tc>
          <w:tcPr>
            <w:tcW w:w="1251" w:type="dxa"/>
            <w:vAlign w:val="center"/>
          </w:tcPr>
          <w:p w14:paraId="08F2B21E" w14:textId="77777777" w:rsidR="001E324C" w:rsidRPr="001E324C" w:rsidRDefault="001E324C" w:rsidP="0055664F">
            <w:pPr>
              <w:suppressAutoHyphens/>
              <w:contextualSpacing/>
              <w:jc w:val="center"/>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шт.</w:t>
            </w:r>
          </w:p>
        </w:tc>
        <w:tc>
          <w:tcPr>
            <w:tcW w:w="724" w:type="dxa"/>
            <w:vAlign w:val="center"/>
          </w:tcPr>
          <w:p w14:paraId="61A7E42A" w14:textId="77777777" w:rsidR="001E324C" w:rsidRPr="001E324C" w:rsidRDefault="001E324C" w:rsidP="0055664F">
            <w:pPr>
              <w:suppressAutoHyphens/>
              <w:contextualSpacing/>
              <w:jc w:val="center"/>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2</w:t>
            </w:r>
          </w:p>
        </w:tc>
      </w:tr>
      <w:tr w:rsidR="001E324C" w:rsidRPr="001E324C" w14:paraId="7E186504" w14:textId="77777777" w:rsidTr="0055664F">
        <w:tc>
          <w:tcPr>
            <w:tcW w:w="9072" w:type="dxa"/>
            <w:gridSpan w:val="4"/>
            <w:vAlign w:val="center"/>
          </w:tcPr>
          <w:p w14:paraId="088E78E2"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Засіб для загального чищення текстильних підлогових покриттів і м'яких меблів за методом екстракції (в тому числі важкі забруднення, мастила, жири та мінеральні відкладення);</w:t>
            </w:r>
          </w:p>
          <w:p w14:paraId="5CC01E90"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Вага: 10 кг;</w:t>
            </w:r>
          </w:p>
          <w:p w14:paraId="516162F3"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Тара: пластикове відро;</w:t>
            </w:r>
          </w:p>
          <w:p w14:paraId="201DE456"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Агрегатний стан: твердий;</w:t>
            </w:r>
          </w:p>
          <w:p w14:paraId="35CD8BD6"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 xml:space="preserve">Насипна щільність: 850 </w:t>
            </w:r>
            <w:proofErr w:type="spellStart"/>
            <w:r w:rsidRPr="001E324C">
              <w:rPr>
                <w:rFonts w:ascii="Times New Roman" w:hAnsi="Times New Roman" w:cs="Times New Roman"/>
                <w:color w:val="000000" w:themeColor="text1"/>
                <w:sz w:val="24"/>
                <w:szCs w:val="24"/>
              </w:rPr>
              <w:t>kg</w:t>
            </w:r>
            <w:proofErr w:type="spellEnd"/>
            <w:r w:rsidRPr="001E324C">
              <w:rPr>
                <w:rFonts w:ascii="Times New Roman" w:hAnsi="Times New Roman" w:cs="Times New Roman"/>
                <w:color w:val="000000" w:themeColor="text1"/>
                <w:sz w:val="24"/>
                <w:szCs w:val="24"/>
              </w:rPr>
              <w:t>/m3;</w:t>
            </w:r>
          </w:p>
          <w:p w14:paraId="297A6D5B"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lastRenderedPageBreak/>
              <w:t xml:space="preserve">Технологія інкапсуляції </w:t>
            </w:r>
            <w:proofErr w:type="spellStart"/>
            <w:r w:rsidRPr="001E324C">
              <w:rPr>
                <w:rFonts w:ascii="Times New Roman" w:hAnsi="Times New Roman" w:cs="Times New Roman"/>
                <w:color w:val="000000" w:themeColor="text1"/>
                <w:sz w:val="24"/>
                <w:szCs w:val="24"/>
              </w:rPr>
              <w:t>iCapsol</w:t>
            </w:r>
            <w:proofErr w:type="spellEnd"/>
            <w:r w:rsidRPr="001E324C">
              <w:rPr>
                <w:rFonts w:ascii="Times New Roman" w:hAnsi="Times New Roman" w:cs="Times New Roman"/>
                <w:color w:val="000000" w:themeColor="text1"/>
                <w:sz w:val="24"/>
                <w:szCs w:val="24"/>
              </w:rPr>
              <w:t>;</w:t>
            </w:r>
          </w:p>
          <w:p w14:paraId="58C20304"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Ароматизатор: «зелений чай»;</w:t>
            </w:r>
          </w:p>
          <w:p w14:paraId="25FA8AD2"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 xml:space="preserve">Кислотність засобу: </w:t>
            </w:r>
            <w:proofErr w:type="spellStart"/>
            <w:r w:rsidRPr="001E324C">
              <w:rPr>
                <w:rFonts w:ascii="Times New Roman" w:hAnsi="Times New Roman" w:cs="Times New Roman"/>
                <w:color w:val="000000" w:themeColor="text1"/>
                <w:sz w:val="24"/>
                <w:szCs w:val="24"/>
              </w:rPr>
              <w:t>pH</w:t>
            </w:r>
            <w:proofErr w:type="spellEnd"/>
            <w:r w:rsidRPr="001E324C">
              <w:rPr>
                <w:rFonts w:ascii="Times New Roman" w:hAnsi="Times New Roman" w:cs="Times New Roman"/>
                <w:color w:val="000000" w:themeColor="text1"/>
                <w:sz w:val="24"/>
                <w:szCs w:val="24"/>
              </w:rPr>
              <w:t>: 8,2;</w:t>
            </w:r>
          </w:p>
          <w:p w14:paraId="17AC5004"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 xml:space="preserve">Склад: </w:t>
            </w:r>
            <w:proofErr w:type="spellStart"/>
            <w:r w:rsidRPr="001E324C">
              <w:rPr>
                <w:rFonts w:ascii="Times New Roman" w:hAnsi="Times New Roman" w:cs="Times New Roman"/>
                <w:color w:val="000000" w:themeColor="text1"/>
                <w:sz w:val="24"/>
                <w:szCs w:val="24"/>
              </w:rPr>
              <w:t>sodium</w:t>
            </w:r>
            <w:proofErr w:type="spellEnd"/>
            <w:r w:rsidRPr="001E324C">
              <w:rPr>
                <w:rFonts w:ascii="Times New Roman" w:hAnsi="Times New Roman" w:cs="Times New Roman"/>
                <w:color w:val="000000" w:themeColor="text1"/>
                <w:sz w:val="24"/>
                <w:szCs w:val="24"/>
              </w:rPr>
              <w:t xml:space="preserve"> </w:t>
            </w:r>
            <w:proofErr w:type="spellStart"/>
            <w:r w:rsidRPr="001E324C">
              <w:rPr>
                <w:rFonts w:ascii="Times New Roman" w:hAnsi="Times New Roman" w:cs="Times New Roman"/>
                <w:color w:val="000000" w:themeColor="text1"/>
                <w:sz w:val="24"/>
                <w:szCs w:val="24"/>
              </w:rPr>
              <w:t>sulphate</w:t>
            </w:r>
            <w:proofErr w:type="spellEnd"/>
            <w:r w:rsidRPr="001E324C">
              <w:rPr>
                <w:rFonts w:ascii="Times New Roman" w:hAnsi="Times New Roman" w:cs="Times New Roman"/>
                <w:color w:val="000000" w:themeColor="text1"/>
                <w:sz w:val="24"/>
                <w:szCs w:val="24"/>
              </w:rPr>
              <w:t xml:space="preserve"> (30-50%), натрію карбонат (20-30%), лимонна кислота (10-20%), </w:t>
            </w:r>
            <w:proofErr w:type="spellStart"/>
            <w:r w:rsidRPr="001E324C">
              <w:rPr>
                <w:rFonts w:ascii="Times New Roman" w:hAnsi="Times New Roman" w:cs="Times New Roman"/>
                <w:color w:val="000000" w:themeColor="text1"/>
                <w:sz w:val="24"/>
                <w:szCs w:val="24"/>
              </w:rPr>
              <w:t>sodium</w:t>
            </w:r>
            <w:proofErr w:type="spellEnd"/>
            <w:r w:rsidRPr="001E324C">
              <w:rPr>
                <w:rFonts w:ascii="Times New Roman" w:hAnsi="Times New Roman" w:cs="Times New Roman"/>
                <w:color w:val="000000" w:themeColor="text1"/>
                <w:sz w:val="24"/>
                <w:szCs w:val="24"/>
              </w:rPr>
              <w:t xml:space="preserve"> </w:t>
            </w:r>
            <w:proofErr w:type="spellStart"/>
            <w:r w:rsidRPr="001E324C">
              <w:rPr>
                <w:rFonts w:ascii="Times New Roman" w:hAnsi="Times New Roman" w:cs="Times New Roman"/>
                <w:color w:val="000000" w:themeColor="text1"/>
                <w:sz w:val="24"/>
                <w:szCs w:val="24"/>
              </w:rPr>
              <w:t>hydrogencarbonate</w:t>
            </w:r>
            <w:proofErr w:type="spellEnd"/>
            <w:r w:rsidRPr="001E324C">
              <w:rPr>
                <w:rFonts w:ascii="Times New Roman" w:hAnsi="Times New Roman" w:cs="Times New Roman"/>
                <w:color w:val="000000" w:themeColor="text1"/>
                <w:sz w:val="24"/>
                <w:szCs w:val="24"/>
              </w:rPr>
              <w:t xml:space="preserve"> (5-10%), </w:t>
            </w:r>
            <w:proofErr w:type="spellStart"/>
            <w:r w:rsidRPr="001E324C">
              <w:rPr>
                <w:rFonts w:ascii="Times New Roman" w:hAnsi="Times New Roman" w:cs="Times New Roman"/>
                <w:color w:val="000000" w:themeColor="text1"/>
                <w:sz w:val="24"/>
                <w:szCs w:val="24"/>
              </w:rPr>
              <w:t>sodium</w:t>
            </w:r>
            <w:proofErr w:type="spellEnd"/>
            <w:r w:rsidRPr="001E324C">
              <w:rPr>
                <w:rFonts w:ascii="Times New Roman" w:hAnsi="Times New Roman" w:cs="Times New Roman"/>
                <w:color w:val="000000" w:themeColor="text1"/>
                <w:sz w:val="24"/>
                <w:szCs w:val="24"/>
              </w:rPr>
              <w:t xml:space="preserve"> p-</w:t>
            </w:r>
            <w:proofErr w:type="spellStart"/>
            <w:r w:rsidRPr="001E324C">
              <w:rPr>
                <w:rFonts w:ascii="Times New Roman" w:hAnsi="Times New Roman" w:cs="Times New Roman"/>
                <w:color w:val="000000" w:themeColor="text1"/>
                <w:sz w:val="24"/>
                <w:szCs w:val="24"/>
              </w:rPr>
              <w:t>cumenesulphonate</w:t>
            </w:r>
            <w:proofErr w:type="spellEnd"/>
            <w:r w:rsidRPr="001E324C">
              <w:rPr>
                <w:rFonts w:ascii="Times New Roman" w:hAnsi="Times New Roman" w:cs="Times New Roman"/>
                <w:color w:val="000000" w:themeColor="text1"/>
                <w:sz w:val="24"/>
                <w:szCs w:val="24"/>
              </w:rPr>
              <w:t xml:space="preserve"> (1-5%), </w:t>
            </w:r>
            <w:proofErr w:type="spellStart"/>
            <w:r w:rsidRPr="001E324C">
              <w:rPr>
                <w:rFonts w:ascii="Times New Roman" w:hAnsi="Times New Roman" w:cs="Times New Roman"/>
                <w:color w:val="000000" w:themeColor="text1"/>
                <w:sz w:val="24"/>
                <w:szCs w:val="24"/>
              </w:rPr>
              <w:t>дигідрат</w:t>
            </w:r>
            <w:proofErr w:type="spellEnd"/>
            <w:r w:rsidRPr="001E324C">
              <w:rPr>
                <w:rFonts w:ascii="Times New Roman" w:hAnsi="Times New Roman" w:cs="Times New Roman"/>
                <w:color w:val="000000" w:themeColor="text1"/>
                <w:sz w:val="24"/>
                <w:szCs w:val="24"/>
              </w:rPr>
              <w:t xml:space="preserve"> щавлевої кислоти (1-3%), </w:t>
            </w:r>
            <w:proofErr w:type="spellStart"/>
            <w:r w:rsidRPr="001E324C">
              <w:rPr>
                <w:rFonts w:ascii="Times New Roman" w:hAnsi="Times New Roman" w:cs="Times New Roman"/>
                <w:color w:val="000000" w:themeColor="text1"/>
                <w:sz w:val="24"/>
                <w:szCs w:val="24"/>
              </w:rPr>
              <w:t>сellulose</w:t>
            </w:r>
            <w:proofErr w:type="spellEnd"/>
            <w:r w:rsidRPr="001E324C">
              <w:rPr>
                <w:rFonts w:ascii="Times New Roman" w:hAnsi="Times New Roman" w:cs="Times New Roman"/>
                <w:color w:val="000000" w:themeColor="text1"/>
                <w:sz w:val="24"/>
                <w:szCs w:val="24"/>
              </w:rPr>
              <w:t xml:space="preserve"> (1-5%).</w:t>
            </w:r>
          </w:p>
          <w:p w14:paraId="488665FF"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Містить компонент для усунення запахів;</w:t>
            </w:r>
          </w:p>
          <w:p w14:paraId="6703B87B"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 xml:space="preserve">Не містить </w:t>
            </w:r>
            <w:proofErr w:type="spellStart"/>
            <w:r w:rsidRPr="001E324C">
              <w:rPr>
                <w:rFonts w:ascii="Times New Roman" w:hAnsi="Times New Roman" w:cs="Times New Roman"/>
                <w:color w:val="000000" w:themeColor="text1"/>
                <w:sz w:val="24"/>
                <w:szCs w:val="24"/>
              </w:rPr>
              <w:t>відбілювачів</w:t>
            </w:r>
            <w:proofErr w:type="spellEnd"/>
            <w:r w:rsidRPr="001E324C">
              <w:rPr>
                <w:rFonts w:ascii="Times New Roman" w:hAnsi="Times New Roman" w:cs="Times New Roman"/>
                <w:color w:val="000000" w:themeColor="text1"/>
                <w:sz w:val="24"/>
                <w:szCs w:val="24"/>
              </w:rPr>
              <w:t>;</w:t>
            </w:r>
          </w:p>
          <w:p w14:paraId="14C94684"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Порошок перед використанням розчиняється в чистій воді (концентрація: 1%, 100 г в 10 л води), готовий розчин наноситься одночасним всмоктуванням та не вимагає заключної промивки;</w:t>
            </w:r>
          </w:p>
          <w:p w14:paraId="08A2E4C9" w14:textId="77777777" w:rsidR="001E324C" w:rsidRPr="001E324C" w:rsidRDefault="001E324C" w:rsidP="0055664F">
            <w:pPr>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 xml:space="preserve">Розрахунок витрати засобу: 1 кг на 80-120 </w:t>
            </w:r>
            <w:proofErr w:type="spellStart"/>
            <w:r w:rsidRPr="001E324C">
              <w:rPr>
                <w:rFonts w:ascii="Times New Roman" w:hAnsi="Times New Roman" w:cs="Times New Roman"/>
                <w:color w:val="000000" w:themeColor="text1"/>
                <w:sz w:val="24"/>
                <w:szCs w:val="24"/>
              </w:rPr>
              <w:t>кв.м</w:t>
            </w:r>
            <w:proofErr w:type="spellEnd"/>
            <w:r w:rsidRPr="001E324C">
              <w:rPr>
                <w:rFonts w:ascii="Times New Roman" w:hAnsi="Times New Roman" w:cs="Times New Roman"/>
                <w:color w:val="000000" w:themeColor="text1"/>
                <w:sz w:val="24"/>
                <w:szCs w:val="24"/>
              </w:rPr>
              <w:t xml:space="preserve"> покриття;</w:t>
            </w:r>
          </w:p>
          <w:p w14:paraId="6C2FBAA6" w14:textId="77777777" w:rsidR="001E324C" w:rsidRPr="001E324C" w:rsidRDefault="001E324C" w:rsidP="0055664F">
            <w:pPr>
              <w:jc w:val="both"/>
              <w:rPr>
                <w:rFonts w:ascii="Times New Roman" w:hAnsi="Times New Roman" w:cs="Times New Roman"/>
                <w:i/>
                <w:iCs/>
                <w:color w:val="000000" w:themeColor="text1"/>
                <w:sz w:val="24"/>
                <w:szCs w:val="24"/>
              </w:rPr>
            </w:pPr>
          </w:p>
        </w:tc>
      </w:tr>
    </w:tbl>
    <w:p w14:paraId="08E84E41" w14:textId="77777777" w:rsidR="001E324C" w:rsidRPr="001E324C" w:rsidRDefault="001E324C" w:rsidP="001E324C">
      <w:pPr>
        <w:spacing w:after="0" w:line="240" w:lineRule="auto"/>
        <w:jc w:val="both"/>
        <w:rPr>
          <w:rFonts w:ascii="Times New Roman" w:hAnsi="Times New Roman" w:cs="Times New Roman"/>
          <w:color w:val="000000" w:themeColor="text1"/>
          <w:sz w:val="24"/>
          <w:szCs w:val="24"/>
        </w:rPr>
      </w:pPr>
    </w:p>
    <w:p w14:paraId="530EDA92"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7BE3ED66"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2. Технічні та якісні характеристики повинні відповідати вимогам і стандартам відповідних чинних нормативних документів.</w:t>
      </w:r>
    </w:p>
    <w:p w14:paraId="72176481"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3.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w:t>
      </w:r>
    </w:p>
    <w:p w14:paraId="06778BD9"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333CB55C"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pacing w:val="-2"/>
          <w:sz w:val="24"/>
          <w:szCs w:val="24"/>
        </w:rPr>
        <w:t>5.  Гарантійні зобов’язання (всіх найменувань) повинні бути не менше строків, визначених</w:t>
      </w:r>
      <w:r w:rsidRPr="001E324C">
        <w:rPr>
          <w:rFonts w:ascii="Times New Roman" w:hAnsi="Times New Roman" w:cs="Times New Roman"/>
          <w:color w:val="000000" w:themeColor="text1"/>
          <w:sz w:val="24"/>
          <w:szCs w:val="24"/>
        </w:rPr>
        <w:t xml:space="preserve"> технічними умовами виробника цих товарів. Учасник має забезпечити обслуговування (підтримку) протягом гарантійного терміну.</w:t>
      </w:r>
    </w:p>
    <w:p w14:paraId="3B0666BC"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lang w:eastAsia="uk-UA"/>
        </w:rPr>
      </w:pPr>
      <w:r w:rsidRPr="001E324C">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1E324C">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7FA00BBE" w14:textId="77777777" w:rsidR="001E324C" w:rsidRPr="001E324C" w:rsidRDefault="001E324C" w:rsidP="001E324C">
      <w:pPr>
        <w:spacing w:after="0" w:line="240" w:lineRule="auto"/>
        <w:ind w:left="14" w:firstLine="538"/>
        <w:jc w:val="both"/>
        <w:rPr>
          <w:rFonts w:ascii="Times New Roman" w:hAnsi="Times New Roman" w:cs="Times New Roman"/>
          <w:color w:val="000000" w:themeColor="text1"/>
          <w:sz w:val="24"/>
          <w:szCs w:val="24"/>
          <w:lang w:eastAsia="ar-SA"/>
        </w:rPr>
      </w:pPr>
      <w:r w:rsidRPr="001E324C">
        <w:rPr>
          <w:rFonts w:ascii="Times New Roman" w:hAnsi="Times New Roman" w:cs="Times New Roman"/>
          <w:color w:val="000000" w:themeColor="text1"/>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наведеною формою.</w:t>
      </w:r>
    </w:p>
    <w:p w14:paraId="39EF62DF" w14:textId="77777777" w:rsidR="001E324C" w:rsidRPr="001E324C" w:rsidRDefault="001E324C" w:rsidP="001E324C">
      <w:pPr>
        <w:suppressAutoHyphens/>
        <w:spacing w:after="0" w:line="240" w:lineRule="auto"/>
        <w:ind w:firstLine="567"/>
        <w:jc w:val="both"/>
        <w:rPr>
          <w:rFonts w:ascii="Times New Roman" w:hAnsi="Times New Roman" w:cs="Times New Roman"/>
          <w:color w:val="000000" w:themeColor="text1"/>
          <w:sz w:val="24"/>
          <w:szCs w:val="24"/>
        </w:rPr>
      </w:pPr>
    </w:p>
    <w:p w14:paraId="2FB0DFC0" w14:textId="77777777" w:rsidR="001E324C" w:rsidRPr="001E324C" w:rsidRDefault="001E324C" w:rsidP="001E324C">
      <w:pPr>
        <w:suppressAutoHyphens/>
        <w:spacing w:after="0" w:line="240" w:lineRule="auto"/>
        <w:ind w:firstLine="567"/>
        <w:jc w:val="both"/>
        <w:rPr>
          <w:rFonts w:ascii="Times New Roman" w:hAnsi="Times New Roman" w:cs="Times New Roman"/>
          <w:bCs/>
          <w:iCs/>
          <w:color w:val="000000" w:themeColor="text1"/>
          <w:sz w:val="24"/>
          <w:szCs w:val="24"/>
        </w:rPr>
      </w:pPr>
      <w:r w:rsidRPr="001E324C">
        <w:rPr>
          <w:rFonts w:ascii="Times New Roman" w:hAnsi="Times New Roman" w:cs="Times New Roman"/>
          <w:bCs/>
          <w:iCs/>
          <w:color w:val="000000" w:themeColor="text1"/>
          <w:sz w:val="24"/>
          <w:szCs w:val="24"/>
        </w:rPr>
        <w:t>Товар повинен відповідати вимогам:</w:t>
      </w:r>
    </w:p>
    <w:p w14:paraId="2F84A151" w14:textId="77777777" w:rsidR="001E324C" w:rsidRPr="001E324C" w:rsidRDefault="001E324C" w:rsidP="001E324C">
      <w:pPr>
        <w:suppressAutoHyphens/>
        <w:spacing w:after="0" w:line="240" w:lineRule="auto"/>
        <w:ind w:firstLine="567"/>
        <w:jc w:val="both"/>
        <w:rPr>
          <w:rFonts w:ascii="Times New Roman" w:hAnsi="Times New Roman" w:cs="Times New Roman"/>
          <w:bCs/>
          <w:iCs/>
          <w:color w:val="000000" w:themeColor="text1"/>
          <w:sz w:val="24"/>
          <w:szCs w:val="24"/>
        </w:rPr>
      </w:pPr>
      <w:r w:rsidRPr="001E324C">
        <w:rPr>
          <w:rFonts w:ascii="Times New Roman" w:hAnsi="Times New Roman" w:cs="Times New Roman"/>
          <w:bCs/>
          <w:iCs/>
          <w:color w:val="000000" w:themeColor="text1"/>
          <w:sz w:val="24"/>
          <w:szCs w:val="24"/>
        </w:rPr>
        <w:t>Закону України від 14 серпня 2014 року № 1644-VІІ «Про санкції»;</w:t>
      </w:r>
    </w:p>
    <w:p w14:paraId="0E2D6EBB" w14:textId="77777777" w:rsidR="001E324C" w:rsidRPr="001E324C" w:rsidRDefault="001E324C" w:rsidP="001E324C">
      <w:pPr>
        <w:suppressAutoHyphens/>
        <w:spacing w:after="0" w:line="240" w:lineRule="auto"/>
        <w:ind w:firstLine="567"/>
        <w:jc w:val="both"/>
        <w:rPr>
          <w:rFonts w:ascii="Times New Roman" w:hAnsi="Times New Roman" w:cs="Times New Roman"/>
          <w:bCs/>
          <w:iCs/>
          <w:color w:val="000000" w:themeColor="text1"/>
          <w:sz w:val="24"/>
          <w:szCs w:val="24"/>
        </w:rPr>
      </w:pPr>
      <w:r w:rsidRPr="001E324C">
        <w:rPr>
          <w:rFonts w:ascii="Times New Roman" w:hAnsi="Times New Roman" w:cs="Times New Roman"/>
          <w:bCs/>
          <w:iCs/>
          <w:color w:val="000000" w:themeColor="text1"/>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FFDA84A" w14:textId="77777777" w:rsidR="001E324C" w:rsidRPr="001E324C" w:rsidRDefault="001E324C" w:rsidP="001E324C">
      <w:pPr>
        <w:suppressAutoHyphens/>
        <w:spacing w:after="0" w:line="240" w:lineRule="auto"/>
        <w:ind w:firstLine="567"/>
        <w:jc w:val="both"/>
        <w:rPr>
          <w:rFonts w:ascii="Times New Roman" w:hAnsi="Times New Roman" w:cs="Times New Roman"/>
          <w:bCs/>
          <w:iCs/>
          <w:color w:val="000000" w:themeColor="text1"/>
          <w:sz w:val="24"/>
          <w:szCs w:val="24"/>
        </w:rPr>
      </w:pPr>
      <w:r w:rsidRPr="001E324C">
        <w:rPr>
          <w:rFonts w:ascii="Times New Roman" w:hAnsi="Times New Roman" w:cs="Times New Roman"/>
          <w:bCs/>
          <w:iCs/>
          <w:color w:val="000000" w:themeColor="text1"/>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E324C">
        <w:rPr>
          <w:rFonts w:ascii="Times New Roman" w:hAnsi="Times New Roman" w:cs="Times New Roman"/>
          <w:bCs/>
          <w:iCs/>
          <w:color w:val="000000" w:themeColor="text1"/>
          <w:sz w:val="24"/>
          <w:szCs w:val="24"/>
        </w:rPr>
        <w:t>закупівель</w:t>
      </w:r>
      <w:proofErr w:type="spellEnd"/>
      <w:r w:rsidRPr="001E324C">
        <w:rPr>
          <w:rFonts w:ascii="Times New Roman" w:hAnsi="Times New Roman" w:cs="Times New Roman"/>
          <w:bCs/>
          <w:iCs/>
          <w:color w:val="000000" w:themeColor="text1"/>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412E0D1A"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r w:rsidRPr="001E324C">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3"/>
    <w:p w14:paraId="1EB97FC8" w14:textId="77777777" w:rsidR="001E324C" w:rsidRPr="001E324C" w:rsidRDefault="001E324C" w:rsidP="001E324C">
      <w:pPr>
        <w:spacing w:after="0" w:line="240" w:lineRule="auto"/>
        <w:rPr>
          <w:rFonts w:ascii="Times New Roman" w:hAnsi="Times New Roman" w:cs="Times New Roman"/>
          <w:color w:val="000000" w:themeColor="text1"/>
          <w:sz w:val="24"/>
          <w:szCs w:val="24"/>
        </w:rPr>
      </w:pPr>
    </w:p>
    <w:p w14:paraId="4D67CD42" w14:textId="77777777" w:rsidR="001E324C" w:rsidRPr="001E324C" w:rsidRDefault="001E324C" w:rsidP="001E324C">
      <w:pPr>
        <w:spacing w:after="0" w:line="240" w:lineRule="auto"/>
        <w:ind w:firstLine="567"/>
        <w:jc w:val="both"/>
        <w:rPr>
          <w:rFonts w:ascii="Times New Roman" w:hAnsi="Times New Roman" w:cs="Times New Roman"/>
          <w:color w:val="000000" w:themeColor="text1"/>
          <w:sz w:val="24"/>
          <w:szCs w:val="24"/>
        </w:rPr>
      </w:pPr>
      <w:r w:rsidRPr="001E324C">
        <w:rPr>
          <w:rFonts w:ascii="Times New Roman" w:hAnsi="Times New Roman" w:cs="Times New Roman"/>
          <w:color w:val="000000" w:themeColor="text1"/>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r w:rsidRPr="001E324C">
        <w:rPr>
          <w:rFonts w:ascii="Times New Roman" w:hAnsi="Times New Roman" w:cs="Times New Roman"/>
          <w:color w:val="000000" w:themeColor="text1"/>
          <w:sz w:val="24"/>
          <w:szCs w:val="24"/>
        </w:rPr>
        <w:lastRenderedPageBreak/>
        <w:t>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23A4042" w14:textId="77777777" w:rsidR="001E324C" w:rsidRPr="001E324C" w:rsidRDefault="001E324C" w:rsidP="001E324C">
      <w:pPr>
        <w:spacing w:after="0" w:line="240" w:lineRule="auto"/>
        <w:rPr>
          <w:rFonts w:ascii="Times New Roman" w:hAnsi="Times New Roman" w:cs="Times New Roman"/>
          <w:color w:val="000000" w:themeColor="text1"/>
          <w:sz w:val="24"/>
          <w:szCs w:val="24"/>
        </w:rPr>
      </w:pPr>
    </w:p>
    <w:p w14:paraId="2FBFF14E" w14:textId="77777777" w:rsidR="001E324C" w:rsidRPr="001E324C" w:rsidRDefault="001E324C" w:rsidP="001E324C">
      <w:pPr>
        <w:spacing w:after="0" w:line="240" w:lineRule="auto"/>
        <w:ind w:firstLine="567"/>
        <w:jc w:val="both"/>
        <w:rPr>
          <w:rFonts w:ascii="Times New Roman" w:hAnsi="Times New Roman" w:cs="Times New Roman"/>
          <w:i/>
          <w:color w:val="000000" w:themeColor="text1"/>
          <w:sz w:val="24"/>
          <w:szCs w:val="24"/>
        </w:rPr>
      </w:pPr>
      <w:r w:rsidRPr="001E324C">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71990231" w14:textId="77777777" w:rsidR="001E324C" w:rsidRPr="001E324C" w:rsidRDefault="001E324C" w:rsidP="001E324C">
      <w:pPr>
        <w:spacing w:after="0" w:line="240" w:lineRule="auto"/>
        <w:ind w:firstLine="567"/>
        <w:jc w:val="both"/>
        <w:rPr>
          <w:rFonts w:ascii="Times New Roman" w:hAnsi="Times New Roman" w:cs="Times New Roman"/>
          <w:i/>
          <w:color w:val="000000" w:themeColor="text1"/>
          <w:sz w:val="24"/>
          <w:szCs w:val="24"/>
        </w:rPr>
      </w:pPr>
      <w:r w:rsidRPr="001E324C">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5F60F3C" w14:textId="77777777" w:rsidR="001E324C" w:rsidRPr="001E324C" w:rsidRDefault="001E324C" w:rsidP="001E324C">
      <w:pPr>
        <w:spacing w:after="0" w:line="240" w:lineRule="auto"/>
        <w:ind w:firstLine="567"/>
        <w:jc w:val="both"/>
        <w:rPr>
          <w:rFonts w:ascii="Times New Roman" w:hAnsi="Times New Roman" w:cs="Times New Roman"/>
          <w:i/>
          <w:color w:val="000000" w:themeColor="text1"/>
          <w:sz w:val="24"/>
          <w:szCs w:val="24"/>
        </w:rPr>
      </w:pPr>
      <w:r w:rsidRPr="001E324C">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B38E470" w14:textId="1BB326F9" w:rsidR="00506EE3" w:rsidRPr="001E324C" w:rsidRDefault="001E324C" w:rsidP="001E324C">
      <w:pPr>
        <w:ind w:right="141" w:firstLine="567"/>
        <w:jc w:val="both"/>
        <w:rPr>
          <w:rFonts w:ascii="Times New Roman" w:hAnsi="Times New Roman" w:cs="Times New Roman"/>
          <w:sz w:val="24"/>
          <w:szCs w:val="24"/>
          <w:lang w:eastAsia="uk-UA"/>
        </w:rPr>
      </w:pPr>
      <w:r w:rsidRPr="001E324C">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A655EE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E324C">
        <w:rPr>
          <w:rFonts w:ascii="Times New Roman" w:eastAsia="Times New Roman" w:hAnsi="Times New Roman" w:cs="Times New Roman"/>
          <w:sz w:val="24"/>
          <w:szCs w:val="24"/>
          <w:lang w:eastAsia="ru-RU"/>
        </w:rPr>
        <w:t>7 598,02</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E324C">
        <w:rPr>
          <w:rFonts w:ascii="Times New Roman" w:eastAsia="Times New Roman" w:hAnsi="Times New Roman" w:cs="Times New Roman"/>
          <w:sz w:val="24"/>
          <w:szCs w:val="24"/>
          <w:lang w:eastAsia="ru-RU"/>
        </w:rPr>
        <w:t>сім тисяч п’ятсот дев’яносто вісім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0</w:t>
      </w:r>
      <w:r w:rsidR="001E324C">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2091A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506EE3">
        <w:rPr>
          <w:rFonts w:ascii="Times New Roman" w:eastAsia="Times New Roman" w:hAnsi="Times New Roman" w:cs="Times New Roman"/>
          <w:sz w:val="24"/>
          <w:szCs w:val="24"/>
          <w:lang w:eastAsia="ru-RU"/>
        </w:rPr>
        <w:t xml:space="preserve"> з урахуванням наказу ДУ ЦІТ МВС України від 10.09.2025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E324C"/>
    <w:rsid w:val="001F1E18"/>
    <w:rsid w:val="00220AB8"/>
    <w:rsid w:val="002352AF"/>
    <w:rsid w:val="00235F6B"/>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06EE3"/>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26AD6"/>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5643</Words>
  <Characters>3218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2025-10-09T07:22:00Z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